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07C6BDA1"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A56C8F">
        <w:rPr>
          <w:rFonts w:ascii="Arial" w:hAnsi="Arial" w:cs="Arial" w:hint="eastAsia"/>
          <w:b/>
        </w:rPr>
        <w:t>6</w:t>
      </w:r>
      <w:r w:rsidRPr="006F2997">
        <w:rPr>
          <w:rFonts w:ascii="Arial" w:hAnsi="Arial" w:cs="Arial"/>
          <w:b/>
          <w:bCs/>
        </w:rPr>
        <w:t xml:space="preserve">      </w:t>
      </w:r>
      <w:r w:rsidRPr="006F2997">
        <w:rPr>
          <w:rFonts w:ascii="Arial" w:hAnsi="Arial" w:cs="Arial"/>
          <w:b/>
          <w:bCs/>
        </w:rPr>
        <w:tab/>
      </w:r>
      <w:bookmarkStart w:id="0" w:name="_Hlk41145946"/>
      <w:r w:rsidR="00574B54">
        <w:rPr>
          <w:rFonts w:ascii="Arial" w:hAnsi="Arial" w:cs="Arial"/>
          <w:b/>
          <w:bCs/>
        </w:rPr>
        <w:tab/>
      </w:r>
      <w:r w:rsidR="005C7E54" w:rsidRPr="009A2353">
        <w:rPr>
          <w:rFonts w:ascii="Arial" w:hAnsi="Arial" w:cs="Arial"/>
          <w:b/>
          <w:bCs/>
        </w:rPr>
        <w:t>R4-2</w:t>
      </w:r>
      <w:bookmarkEnd w:id="0"/>
      <w:r w:rsidR="00A56C8F">
        <w:rPr>
          <w:rFonts w:ascii="Arial" w:hAnsi="Arial" w:cs="Arial" w:hint="eastAsia"/>
          <w:b/>
          <w:bCs/>
        </w:rPr>
        <w:t>30</w:t>
      </w:r>
      <w:r w:rsidR="00DA08F0">
        <w:rPr>
          <w:rFonts w:ascii="Arial" w:hAnsi="Arial" w:cs="Arial" w:hint="eastAsia"/>
          <w:b/>
          <w:bCs/>
        </w:rPr>
        <w:t>0773</w:t>
      </w:r>
    </w:p>
    <w:p w14:paraId="5F304BE9" w14:textId="77777777" w:rsidR="00A56C8F" w:rsidRPr="00780C44" w:rsidRDefault="00A56C8F" w:rsidP="00A56C8F">
      <w:pPr>
        <w:tabs>
          <w:tab w:val="left" w:pos="3106"/>
          <w:tab w:val="center" w:pos="4536"/>
          <w:tab w:val="right" w:pos="9072"/>
        </w:tabs>
        <w:jc w:val="both"/>
        <w:rPr>
          <w:rFonts w:ascii="Arial" w:hAnsi="Arial" w:cs="Arial"/>
          <w:b/>
          <w:bCs/>
        </w:rPr>
      </w:pPr>
      <w:r>
        <w:rPr>
          <w:rFonts w:ascii="Arial" w:hAnsi="Arial" w:cs="Arial"/>
          <w:b/>
          <w:bCs/>
        </w:rPr>
        <w:t>Athens</w:t>
      </w:r>
      <w:r w:rsidRPr="00D35F49">
        <w:rPr>
          <w:rFonts w:ascii="Arial" w:hAnsi="Arial" w:cs="Arial"/>
          <w:b/>
          <w:bCs/>
        </w:rPr>
        <w:t xml:space="preserve">, </w:t>
      </w:r>
      <w:r>
        <w:rPr>
          <w:rFonts w:ascii="Arial" w:hAnsi="Arial" w:cs="Arial"/>
          <w:b/>
          <w:bCs/>
        </w:rPr>
        <w:t>GR</w:t>
      </w:r>
      <w:r w:rsidRPr="00D35F49">
        <w:rPr>
          <w:rFonts w:ascii="Arial" w:hAnsi="Arial" w:cs="Arial"/>
          <w:b/>
          <w:bCs/>
        </w:rPr>
        <w:t>,</w:t>
      </w:r>
      <w:r w:rsidRPr="00780C44">
        <w:rPr>
          <w:rFonts w:ascii="Arial" w:hAnsi="Arial" w:cs="Arial"/>
          <w:b/>
          <w:bCs/>
        </w:rPr>
        <w:t xml:space="preserve"> </w:t>
      </w:r>
      <w:r>
        <w:rPr>
          <w:rFonts w:ascii="Arial" w:eastAsia="宋体" w:hAnsi="Arial" w:cs="Arial"/>
          <w:b/>
          <w:szCs w:val="36"/>
        </w:rPr>
        <w:t xml:space="preserve">Feb 27 </w:t>
      </w:r>
      <w:r>
        <w:rPr>
          <w:rFonts w:ascii="Arial" w:eastAsia="宋体" w:hAnsi="Arial" w:cs="Arial" w:hint="eastAsia"/>
          <w:b/>
          <w:szCs w:val="36"/>
        </w:rPr>
        <w:t>-</w:t>
      </w:r>
      <w:r>
        <w:rPr>
          <w:rFonts w:ascii="Arial" w:eastAsia="宋体" w:hAnsi="Arial" w:cs="Arial"/>
          <w:b/>
          <w:szCs w:val="36"/>
        </w:rPr>
        <w:t xml:space="preserve"> Mar</w:t>
      </w:r>
      <w:r w:rsidRPr="00B57BD1">
        <w:rPr>
          <w:rFonts w:ascii="Arial" w:eastAsia="宋体" w:hAnsi="Arial" w:cs="Arial"/>
          <w:b/>
          <w:szCs w:val="36"/>
        </w:rPr>
        <w:t xml:space="preserve"> </w:t>
      </w:r>
      <w:r>
        <w:rPr>
          <w:rFonts w:ascii="Arial" w:eastAsia="宋体" w:hAnsi="Arial" w:cs="Arial"/>
          <w:b/>
          <w:szCs w:val="36"/>
        </w:rPr>
        <w:t>03</w:t>
      </w:r>
      <w:r w:rsidRPr="00F26544">
        <w:rPr>
          <w:rFonts w:ascii="Arial" w:eastAsia="宋体" w:hAnsi="Arial" w:cs="Arial"/>
          <w:b/>
        </w:rPr>
        <w:t>, 202</w:t>
      </w:r>
      <w:r>
        <w:rPr>
          <w:rFonts w:ascii="Arial" w:eastAsia="宋体" w:hAnsi="Arial" w:cs="Arial"/>
          <w:b/>
        </w:rPr>
        <w:t>3</w:t>
      </w:r>
    </w:p>
    <w:p w14:paraId="03D9AB6B" w14:textId="77777777" w:rsidR="00B71217" w:rsidRPr="00967981" w:rsidRDefault="00B71217" w:rsidP="00B71217">
      <w:pPr>
        <w:tabs>
          <w:tab w:val="left" w:pos="1985"/>
        </w:tabs>
        <w:rPr>
          <w:b/>
          <w:sz w:val="22"/>
        </w:rPr>
      </w:pPr>
    </w:p>
    <w:p w14:paraId="5091D0EE" w14:textId="0B0CC140"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D12808" w:rsidRPr="00884262">
        <w:rPr>
          <w:sz w:val="22"/>
        </w:rPr>
        <w:t>6.</w:t>
      </w:r>
      <w:r w:rsidR="00446524">
        <w:rPr>
          <w:sz w:val="22"/>
        </w:rPr>
        <w:t>1</w:t>
      </w:r>
      <w:r w:rsidR="00884262" w:rsidRPr="00884262">
        <w:rPr>
          <w:rFonts w:hint="eastAsia"/>
          <w:sz w:val="22"/>
        </w:rPr>
        <w:t>.4</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532A9C79"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RRM</w:t>
      </w:r>
      <w:r w:rsidR="00A56C8F">
        <w:rPr>
          <w:sz w:val="22"/>
        </w:rPr>
        <w:t xml:space="preserve"> maintenance issue</w:t>
      </w:r>
      <w:r w:rsidR="00586F7A">
        <w:rPr>
          <w:sz w:val="22"/>
        </w:rPr>
        <w:t xml:space="preserve"> for </w:t>
      </w:r>
      <w:bookmarkEnd w:id="2"/>
      <w:r w:rsidR="00574B54">
        <w:rPr>
          <w:sz w:val="22"/>
        </w:rPr>
        <w:t>NTN</w:t>
      </w:r>
      <w:r w:rsidR="00A56C8F">
        <w:rPr>
          <w:sz w:val="22"/>
        </w:rPr>
        <w:t xml:space="preserve"> </w:t>
      </w:r>
      <w:r w:rsidR="00A56C8F">
        <w:rPr>
          <w:rFonts w:hint="eastAsia"/>
          <w:sz w:val="22"/>
        </w:rPr>
        <w:t>core</w:t>
      </w:r>
      <w:r w:rsidR="00A56C8F">
        <w:rPr>
          <w:sz w:val="22"/>
        </w:rPr>
        <w:t xml:space="preserve"> requirements</w:t>
      </w:r>
    </w:p>
    <w:bookmarkEnd w:id="3"/>
    <w:bookmarkEnd w:id="4"/>
    <w:p w14:paraId="084F8028"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1710E67" w14:textId="6787F3BC" w:rsidR="003E3FB4"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A56C8F">
        <w:rPr>
          <w:sz w:val="20"/>
          <w:szCs w:val="20"/>
        </w:rPr>
        <w:t>5</w:t>
      </w:r>
      <w:r w:rsidR="00C21779">
        <w:rPr>
          <w:sz w:val="20"/>
          <w:szCs w:val="20"/>
        </w:rPr>
        <w:t xml:space="preserve"> meeting,</w:t>
      </w:r>
      <w:r w:rsidR="006D3F69">
        <w:rPr>
          <w:sz w:val="20"/>
          <w:szCs w:val="20"/>
        </w:rPr>
        <w:t xml:space="preserve"> </w:t>
      </w:r>
      <w:r w:rsidR="00574B54">
        <w:rPr>
          <w:sz w:val="20"/>
          <w:szCs w:val="20"/>
        </w:rPr>
        <w:t>the remaining</w:t>
      </w:r>
      <w:r w:rsidR="00A56C8F">
        <w:rPr>
          <w:sz w:val="20"/>
          <w:szCs w:val="20"/>
        </w:rPr>
        <w:t xml:space="preserve"> maintenance</w:t>
      </w:r>
      <w:r w:rsidR="00574B54">
        <w:rPr>
          <w:sz w:val="20"/>
          <w:szCs w:val="20"/>
        </w:rPr>
        <w:t xml:space="preserve"> issues for NTN core requirements were discussed. 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w:t>
      </w:r>
      <w:r w:rsidR="00574B54">
        <w:rPr>
          <w:sz w:val="20"/>
          <w:szCs w:val="20"/>
        </w:rPr>
        <w:t xml:space="preserve">provide our views on additional delay issue </w:t>
      </w:r>
      <w:r w:rsidR="005C4B67">
        <w:rPr>
          <w:sz w:val="20"/>
          <w:szCs w:val="20"/>
        </w:rPr>
        <w:t>of</w:t>
      </w:r>
      <w:r w:rsidR="00574B54">
        <w:rPr>
          <w:sz w:val="20"/>
          <w:szCs w:val="20"/>
        </w:rPr>
        <w:t xml:space="preserve"> HO and CHO requirement</w:t>
      </w:r>
      <w:r w:rsidR="00A56C8F">
        <w:rPr>
          <w:sz w:val="20"/>
          <w:szCs w:val="20"/>
        </w:rPr>
        <w:t xml:space="preserve"> based on RAN2’s progress</w:t>
      </w:r>
      <w:r w:rsidR="00574B54">
        <w:rPr>
          <w:sz w:val="20"/>
          <w:szCs w:val="20"/>
        </w:rPr>
        <w:t>.</w:t>
      </w:r>
    </w:p>
    <w:p w14:paraId="360E8369" w14:textId="6A78706D" w:rsidR="00932153" w:rsidRDefault="00574B54"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Background</w:t>
      </w:r>
    </w:p>
    <w:p w14:paraId="5341D4B0" w14:textId="19E7E44A" w:rsidR="00C90F00" w:rsidRDefault="00C90F00" w:rsidP="00C926D9">
      <w:pPr>
        <w:tabs>
          <w:tab w:val="left" w:pos="1134"/>
        </w:tabs>
        <w:spacing w:before="60" w:line="240" w:lineRule="exact"/>
        <w:rPr>
          <w:sz w:val="20"/>
          <w:szCs w:val="20"/>
        </w:rPr>
      </w:pPr>
      <w:bookmarkStart w:id="7" w:name="_Hlk70326378"/>
      <w:r>
        <w:rPr>
          <w:sz w:val="20"/>
          <w:szCs w:val="20"/>
        </w:rPr>
        <w:t>For the HO and CHO additional delay issue, RAN4 have following discussion</w:t>
      </w:r>
      <w:r w:rsidR="00881EB9">
        <w:rPr>
          <w:sz w:val="20"/>
          <w:szCs w:val="20"/>
        </w:rPr>
        <w:t>s</w:t>
      </w:r>
      <w:r>
        <w:rPr>
          <w:sz w:val="20"/>
          <w:szCs w:val="20"/>
        </w:rPr>
        <w:t xml:space="preserve"> and agreement</w:t>
      </w:r>
      <w:r w:rsidR="00881EB9">
        <w:rPr>
          <w:sz w:val="20"/>
          <w:szCs w:val="20"/>
        </w:rPr>
        <w:t>s</w:t>
      </w:r>
      <w:r>
        <w:rPr>
          <w:sz w:val="20"/>
          <w:szCs w:val="20"/>
        </w:rPr>
        <w:t xml:space="preserve"> in the last meeting. </w:t>
      </w:r>
    </w:p>
    <w:tbl>
      <w:tblPr>
        <w:tblStyle w:val="a8"/>
        <w:tblW w:w="0" w:type="auto"/>
        <w:tblLook w:val="04A0" w:firstRow="1" w:lastRow="0" w:firstColumn="1" w:lastColumn="0" w:noHBand="0" w:noVBand="1"/>
      </w:tblPr>
      <w:tblGrid>
        <w:gridCol w:w="9105"/>
      </w:tblGrid>
      <w:tr w:rsidR="00C926D9" w14:paraId="2C005BA0" w14:textId="77777777" w:rsidTr="00C926D9">
        <w:tc>
          <w:tcPr>
            <w:tcW w:w="9105" w:type="dxa"/>
          </w:tcPr>
          <w:p w14:paraId="643302F1" w14:textId="77777777" w:rsidR="00F35963" w:rsidRPr="00F35963" w:rsidRDefault="00F35963" w:rsidP="00F35963">
            <w:pPr>
              <w:spacing w:before="60"/>
              <w:rPr>
                <w:b/>
                <w:i/>
                <w:iCs/>
                <w:sz w:val="20"/>
                <w:szCs w:val="20"/>
                <w:u w:val="single"/>
              </w:rPr>
            </w:pPr>
            <w:r w:rsidRPr="00F35963">
              <w:rPr>
                <w:b/>
                <w:i/>
                <w:iCs/>
                <w:sz w:val="20"/>
                <w:szCs w:val="20"/>
                <w:u w:val="single"/>
              </w:rPr>
              <w:t>Issue 7: Additional delay and Requirement Applicability in HO and CHO due to uncertainty of Target cell’s epoch time</w:t>
            </w:r>
          </w:p>
          <w:p w14:paraId="1404B3A4" w14:textId="77777777" w:rsidR="00F35963" w:rsidRPr="00F35963" w:rsidRDefault="00F35963" w:rsidP="00F35963">
            <w:pPr>
              <w:spacing w:before="60"/>
              <w:rPr>
                <w:b/>
                <w:i/>
                <w:iCs/>
                <w:sz w:val="20"/>
                <w:szCs w:val="20"/>
                <w:u w:val="single"/>
              </w:rPr>
            </w:pPr>
            <w:r w:rsidRPr="00F35963">
              <w:rPr>
                <w:b/>
                <w:i/>
                <w:iCs/>
                <w:sz w:val="20"/>
                <w:szCs w:val="20"/>
                <w:u w:val="single"/>
              </w:rPr>
              <w:t>Agreement:</w:t>
            </w:r>
          </w:p>
          <w:p w14:paraId="136C5720" w14:textId="019D1F44" w:rsidR="00F35963" w:rsidRPr="00F35963" w:rsidRDefault="00F35963" w:rsidP="00F35963">
            <w:pPr>
              <w:numPr>
                <w:ilvl w:val="0"/>
                <w:numId w:val="25"/>
              </w:numPr>
              <w:spacing w:before="60"/>
              <w:rPr>
                <w:i/>
                <w:iCs/>
                <w:sz w:val="20"/>
                <w:szCs w:val="20"/>
              </w:rPr>
            </w:pPr>
            <w:r w:rsidRPr="00F35963">
              <w:rPr>
                <w:i/>
                <w:iCs/>
                <w:sz w:val="20"/>
                <w:szCs w:val="20"/>
              </w:rPr>
              <w:t>Wait for RAN2 conclusion and the following options can be further discussed as part of maintenance.</w:t>
            </w:r>
          </w:p>
          <w:p w14:paraId="3E57111C" w14:textId="44797890" w:rsidR="00F35963" w:rsidRPr="00F35963" w:rsidRDefault="00F35963" w:rsidP="00F35963">
            <w:pPr>
              <w:numPr>
                <w:ilvl w:val="1"/>
                <w:numId w:val="25"/>
              </w:numPr>
              <w:spacing w:before="60"/>
              <w:rPr>
                <w:i/>
                <w:iCs/>
                <w:sz w:val="20"/>
                <w:szCs w:val="20"/>
              </w:rPr>
            </w:pPr>
            <w:r w:rsidRPr="00F35963">
              <w:rPr>
                <w:i/>
                <w:iCs/>
                <w:sz w:val="20"/>
                <w:szCs w:val="20"/>
              </w:rPr>
              <w:t>Option 1:</w:t>
            </w:r>
          </w:p>
          <w:p w14:paraId="2D3838A3" w14:textId="08E8F9FC" w:rsidR="00F35963" w:rsidRPr="00F35963" w:rsidRDefault="00F35963" w:rsidP="00F35963">
            <w:pPr>
              <w:numPr>
                <w:ilvl w:val="2"/>
                <w:numId w:val="25"/>
              </w:numPr>
              <w:spacing w:before="60"/>
              <w:rPr>
                <w:i/>
                <w:iCs/>
                <w:sz w:val="20"/>
                <w:szCs w:val="20"/>
              </w:rPr>
            </w:pPr>
            <w:r w:rsidRPr="00F35963">
              <w:rPr>
                <w:i/>
                <w:iCs/>
                <w:sz w:val="20"/>
                <w:szCs w:val="20"/>
              </w:rPr>
              <w:t>No need to consider the additional delay introduced in the HO/CHO procedure for NTN caused by the cases where the UE has to wait for the epoch time to be reached or re-acquire a new ephemeris information.</w:t>
            </w:r>
          </w:p>
          <w:p w14:paraId="60E19A68" w14:textId="41CD33D3" w:rsidR="00F35963" w:rsidRPr="00F35963" w:rsidRDefault="00F35963" w:rsidP="00F35963">
            <w:pPr>
              <w:numPr>
                <w:ilvl w:val="1"/>
                <w:numId w:val="25"/>
              </w:numPr>
              <w:spacing w:before="60"/>
              <w:rPr>
                <w:i/>
                <w:iCs/>
                <w:sz w:val="20"/>
                <w:szCs w:val="20"/>
              </w:rPr>
            </w:pPr>
            <w:r w:rsidRPr="00F35963">
              <w:rPr>
                <w:i/>
                <w:iCs/>
                <w:sz w:val="20"/>
                <w:szCs w:val="20"/>
              </w:rPr>
              <w:t>Option 2:</w:t>
            </w:r>
          </w:p>
          <w:p w14:paraId="49ED75C7" w14:textId="4B3446ED" w:rsidR="00F35963" w:rsidRPr="00F35963" w:rsidRDefault="00F35963" w:rsidP="00F35963">
            <w:pPr>
              <w:numPr>
                <w:ilvl w:val="2"/>
                <w:numId w:val="25"/>
              </w:numPr>
              <w:spacing w:before="60"/>
              <w:rPr>
                <w:i/>
                <w:iCs/>
                <w:sz w:val="20"/>
                <w:szCs w:val="20"/>
              </w:rPr>
            </w:pPr>
            <w:r w:rsidRPr="00F35963">
              <w:rPr>
                <w:i/>
                <w:iCs/>
                <w:sz w:val="20"/>
                <w:szCs w:val="20"/>
              </w:rPr>
              <w:t>Latency and Interruption requirements in HO and CHO shall be extended. FFS on the details.</w:t>
            </w:r>
          </w:p>
          <w:p w14:paraId="30E7143E" w14:textId="5227CC9C" w:rsidR="00C926D9" w:rsidRPr="00F35963" w:rsidRDefault="00F35963" w:rsidP="00F35963">
            <w:pPr>
              <w:numPr>
                <w:ilvl w:val="0"/>
                <w:numId w:val="25"/>
              </w:numPr>
              <w:spacing w:before="60"/>
              <w:rPr>
                <w:i/>
                <w:iCs/>
                <w:sz w:val="20"/>
                <w:szCs w:val="20"/>
              </w:rPr>
            </w:pPr>
            <w:r w:rsidRPr="00F35963">
              <w:rPr>
                <w:i/>
                <w:iCs/>
                <w:sz w:val="20"/>
                <w:szCs w:val="20"/>
              </w:rPr>
              <w:t>FFS on delay requirement for blind HO/CHO case if target satellite ephemeris information and epoch timing is only provided to UE via HO command.</w:t>
            </w:r>
          </w:p>
        </w:tc>
      </w:tr>
    </w:tbl>
    <w:p w14:paraId="6025CCA1" w14:textId="4B666306" w:rsidR="00C90F00" w:rsidRDefault="00F35963" w:rsidP="001D30FE">
      <w:pPr>
        <w:tabs>
          <w:tab w:val="left" w:pos="1134"/>
        </w:tabs>
        <w:spacing w:before="120" w:line="240" w:lineRule="exact"/>
        <w:rPr>
          <w:sz w:val="20"/>
          <w:szCs w:val="20"/>
        </w:rPr>
      </w:pPr>
      <w:r>
        <w:rPr>
          <w:sz w:val="20"/>
          <w:szCs w:val="20"/>
        </w:rPr>
        <w:t>In</w:t>
      </w:r>
      <w:r w:rsidR="00C90F00">
        <w:rPr>
          <w:sz w:val="20"/>
          <w:szCs w:val="20"/>
        </w:rPr>
        <w:t xml:space="preserve"> RAN2</w:t>
      </w:r>
      <w:r>
        <w:rPr>
          <w:sz w:val="20"/>
          <w:szCs w:val="20"/>
        </w:rPr>
        <w:t xml:space="preserve">#120 </w:t>
      </w:r>
      <w:r>
        <w:rPr>
          <w:rFonts w:hint="eastAsia"/>
          <w:sz w:val="20"/>
          <w:szCs w:val="20"/>
        </w:rPr>
        <w:t>meeting</w:t>
      </w:r>
      <w:r w:rsidR="009131FD">
        <w:rPr>
          <w:rFonts w:hint="eastAsia"/>
          <w:sz w:val="20"/>
          <w:szCs w:val="20"/>
        </w:rPr>
        <w:t>,</w:t>
      </w:r>
      <w:r w:rsidR="00C90F00">
        <w:rPr>
          <w:sz w:val="20"/>
          <w:szCs w:val="20"/>
        </w:rPr>
        <w:t xml:space="preserve"> the </w:t>
      </w:r>
      <w:r w:rsidR="00881EB9" w:rsidRPr="00881EB9">
        <w:rPr>
          <w:sz w:val="20"/>
          <w:szCs w:val="20"/>
        </w:rPr>
        <w:t>epoch time and validity timer</w:t>
      </w:r>
      <w:r w:rsidR="00881EB9">
        <w:rPr>
          <w:sz w:val="20"/>
          <w:szCs w:val="20"/>
        </w:rPr>
        <w:t xml:space="preserve"> issue</w:t>
      </w:r>
      <w:r w:rsidR="00557BD2">
        <w:rPr>
          <w:rFonts w:hint="eastAsia"/>
          <w:sz w:val="20"/>
          <w:szCs w:val="20"/>
        </w:rPr>
        <w:t>s</w:t>
      </w:r>
      <w:r w:rsidR="00881EB9">
        <w:rPr>
          <w:sz w:val="20"/>
          <w:szCs w:val="20"/>
        </w:rPr>
        <w:t xml:space="preserve"> </w:t>
      </w:r>
      <w:r w:rsidR="009131FD">
        <w:rPr>
          <w:sz w:val="20"/>
          <w:szCs w:val="20"/>
        </w:rPr>
        <w:t>w</w:t>
      </w:r>
      <w:r w:rsidR="00557BD2">
        <w:rPr>
          <w:sz w:val="20"/>
          <w:szCs w:val="20"/>
        </w:rPr>
        <w:t>ere</w:t>
      </w:r>
      <w:r w:rsidR="009131FD">
        <w:rPr>
          <w:sz w:val="20"/>
          <w:szCs w:val="20"/>
        </w:rPr>
        <w:t xml:space="preserve"> discussed</w:t>
      </w:r>
      <w:r w:rsidR="00881EB9">
        <w:rPr>
          <w:sz w:val="20"/>
          <w:szCs w:val="20"/>
        </w:rPr>
        <w:t>, following agreements had been achieved</w:t>
      </w:r>
      <w:r w:rsidR="00EC721B">
        <w:rPr>
          <w:sz w:val="20"/>
          <w:szCs w:val="20"/>
        </w:rPr>
        <w:t xml:space="preserve"> [2], [3]</w:t>
      </w:r>
      <w:r w:rsidR="00881EB9">
        <w:rPr>
          <w:sz w:val="20"/>
          <w:szCs w:val="20"/>
        </w:rPr>
        <w:t>:</w:t>
      </w:r>
    </w:p>
    <w:tbl>
      <w:tblPr>
        <w:tblStyle w:val="a8"/>
        <w:tblW w:w="0" w:type="auto"/>
        <w:tblLook w:val="04A0" w:firstRow="1" w:lastRow="0" w:firstColumn="1" w:lastColumn="0" w:noHBand="0" w:noVBand="1"/>
      </w:tblPr>
      <w:tblGrid>
        <w:gridCol w:w="9105"/>
      </w:tblGrid>
      <w:tr w:rsidR="00765424" w14:paraId="2E1BB0E2" w14:textId="77777777" w:rsidTr="00765424">
        <w:tc>
          <w:tcPr>
            <w:tcW w:w="9105" w:type="dxa"/>
          </w:tcPr>
          <w:p w14:paraId="40F20A12" w14:textId="06909DBF" w:rsidR="005359C5" w:rsidRPr="005359C5" w:rsidRDefault="005359C5" w:rsidP="00765424">
            <w:pPr>
              <w:spacing w:after="180"/>
              <w:rPr>
                <w:bCs/>
                <w:i/>
                <w:iCs/>
                <w:sz w:val="20"/>
                <w:szCs w:val="20"/>
              </w:rPr>
            </w:pPr>
            <w:bookmarkStart w:id="8" w:name="_Hlk117764863"/>
            <w:r w:rsidRPr="00937145">
              <w:rPr>
                <w:bCs/>
                <w:i/>
                <w:iCs/>
                <w:sz w:val="20"/>
                <w:szCs w:val="20"/>
              </w:rPr>
              <w:t>Agreements (from offline 1</w:t>
            </w:r>
            <w:r>
              <w:rPr>
                <w:rFonts w:hint="eastAsia"/>
                <w:bCs/>
                <w:i/>
                <w:iCs/>
                <w:sz w:val="20"/>
                <w:szCs w:val="20"/>
              </w:rPr>
              <w:t>02</w:t>
            </w:r>
            <w:r w:rsidRPr="00937145">
              <w:rPr>
                <w:bCs/>
                <w:i/>
                <w:iCs/>
                <w:sz w:val="20"/>
                <w:szCs w:val="20"/>
              </w:rPr>
              <w:t>):</w:t>
            </w:r>
          </w:p>
          <w:tbl>
            <w:tblPr>
              <w:tblW w:w="86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977"/>
              <w:gridCol w:w="2693"/>
              <w:gridCol w:w="2098"/>
            </w:tblGrid>
            <w:tr w:rsidR="005359C5" w:rsidRPr="00F62F4C" w14:paraId="123DC0E0" w14:textId="77777777" w:rsidTr="005359C5">
              <w:trPr>
                <w:cantSplit/>
              </w:trPr>
              <w:tc>
                <w:tcPr>
                  <w:tcW w:w="900" w:type="dxa"/>
                  <w:tcBorders>
                    <w:top w:val="single" w:sz="4" w:space="0" w:color="auto"/>
                    <w:left w:val="single" w:sz="4" w:space="0" w:color="auto"/>
                    <w:bottom w:val="single" w:sz="4" w:space="0" w:color="auto"/>
                    <w:right w:val="single" w:sz="4" w:space="0" w:color="auto"/>
                  </w:tcBorders>
                </w:tcPr>
                <w:p w14:paraId="625D0B36" w14:textId="77777777" w:rsidR="005359C5" w:rsidRDefault="005359C5" w:rsidP="005359C5">
                  <w:pPr>
                    <w:pStyle w:val="Comments"/>
                  </w:pPr>
                  <w:r>
                    <w:t>T430</w:t>
                  </w:r>
                </w:p>
              </w:tc>
              <w:tc>
                <w:tcPr>
                  <w:tcW w:w="2977" w:type="dxa"/>
                  <w:tcBorders>
                    <w:top w:val="single" w:sz="4" w:space="0" w:color="auto"/>
                    <w:left w:val="single" w:sz="4" w:space="0" w:color="auto"/>
                    <w:bottom w:val="single" w:sz="4" w:space="0" w:color="auto"/>
                    <w:right w:val="single" w:sz="4" w:space="0" w:color="auto"/>
                  </w:tcBorders>
                </w:tcPr>
                <w:p w14:paraId="26840058" w14:textId="77777777" w:rsidR="005359C5" w:rsidRPr="00F62F4C" w:rsidRDefault="005359C5" w:rsidP="005359C5">
                  <w:pPr>
                    <w:pStyle w:val="Comments"/>
                    <w:rPr>
                      <w:rFonts w:eastAsia="Batang"/>
                      <w:lang w:val="en-US"/>
                    </w:rPr>
                  </w:pPr>
                  <w:r w:rsidRPr="00A753A7">
                    <w:rPr>
                      <w:rFonts w:eastAsia="Batang"/>
                      <w:highlight w:val="yellow"/>
                    </w:rPr>
                    <w:t>Start or restart from the subframe indicated by epochTime</w:t>
                  </w:r>
                  <w:r>
                    <w:rPr>
                      <w:rFonts w:eastAsia="Batang"/>
                    </w:rPr>
                    <w:t xml:space="preserve"> upon reception of SIB19</w:t>
                  </w:r>
                  <w:r w:rsidRPr="0006353D">
                    <w:rPr>
                      <w:rFonts w:eastAsia="Batang"/>
                      <w:u w:val="single"/>
                    </w:rPr>
                    <w:t xml:space="preserve">, or </w:t>
                  </w:r>
                  <w:r w:rsidRPr="00A753A7">
                    <w:rPr>
                      <w:rFonts w:eastAsia="Batang"/>
                      <w:highlight w:val="yellow"/>
                      <w:u w:val="single"/>
                    </w:rPr>
                    <w:t>upon reception of RRCReconfiguration message including reconfigurationWithSync, or upon conditional reconfiguration execution</w:t>
                  </w:r>
                  <w:r w:rsidRPr="0006353D">
                    <w:rPr>
                      <w:rFonts w:eastAsia="Batang"/>
                      <w:u w:val="single"/>
                    </w:rPr>
                    <w:t xml:space="preserve"> i.e. when applying a stored RRCReconfiguration message including reconfigurationWithSync</w:t>
                  </w:r>
                </w:p>
              </w:tc>
              <w:tc>
                <w:tcPr>
                  <w:tcW w:w="2693" w:type="dxa"/>
                  <w:tcBorders>
                    <w:top w:val="single" w:sz="4" w:space="0" w:color="auto"/>
                    <w:left w:val="single" w:sz="4" w:space="0" w:color="auto"/>
                    <w:bottom w:val="single" w:sz="4" w:space="0" w:color="auto"/>
                    <w:right w:val="single" w:sz="4" w:space="0" w:color="auto"/>
                  </w:tcBorders>
                </w:tcPr>
                <w:p w14:paraId="310DEEC3" w14:textId="77777777" w:rsidR="005359C5" w:rsidRPr="0006353D" w:rsidRDefault="005359C5" w:rsidP="005359C5">
                  <w:pPr>
                    <w:pStyle w:val="Comments"/>
                    <w:rPr>
                      <w:rFonts w:eastAsia="Batang"/>
                      <w:u w:val="single"/>
                      <w:lang w:val="en-US"/>
                    </w:rPr>
                  </w:pPr>
                  <w:r w:rsidRPr="0006353D">
                    <w:rPr>
                      <w:rFonts w:eastAsia="Batang"/>
                      <w:u w:val="single"/>
                      <w:lang w:val="en-US"/>
                    </w:rPr>
                    <w:t xml:space="preserve">Stop T430, if it is running, for the source cell upon reception of </w:t>
                  </w:r>
                  <w:r w:rsidRPr="0006353D">
                    <w:rPr>
                      <w:rFonts w:eastAsia="Batang"/>
                      <w:iCs/>
                      <w:u w:val="single"/>
                      <w:lang w:val="en-US"/>
                    </w:rPr>
                    <w:t>RRCReconfiguration</w:t>
                  </w:r>
                  <w:r w:rsidRPr="0006353D">
                    <w:rPr>
                      <w:rFonts w:eastAsia="Batang"/>
                      <w:u w:val="single"/>
                      <w:lang w:val="en-US"/>
                    </w:rPr>
                    <w:t xml:space="preserve"> message including </w:t>
                  </w:r>
                  <w:r w:rsidRPr="0006353D">
                    <w:rPr>
                      <w:rFonts w:eastAsia="Batang"/>
                      <w:iCs/>
                      <w:u w:val="single"/>
                      <w:lang w:val="en-US"/>
                    </w:rPr>
                    <w:t>reconfigurationWithSync</w:t>
                  </w:r>
                  <w:r w:rsidRPr="0006353D">
                    <w:rPr>
                      <w:rFonts w:eastAsia="Batang"/>
                      <w:u w:val="single"/>
                      <w:lang w:val="en-US"/>
                    </w:rPr>
                    <w:t xml:space="preserve">, or upon conditional reconfiguration execution i.e. when applying a stored </w:t>
                  </w:r>
                  <w:r w:rsidRPr="0006353D">
                    <w:rPr>
                      <w:rFonts w:eastAsia="Batang"/>
                      <w:iCs/>
                      <w:u w:val="single"/>
                      <w:lang w:val="en-US"/>
                    </w:rPr>
                    <w:t>RRCReconfiguration</w:t>
                  </w:r>
                  <w:r w:rsidRPr="0006353D">
                    <w:rPr>
                      <w:rFonts w:eastAsia="Batang"/>
                      <w:u w:val="single"/>
                      <w:lang w:val="en-US"/>
                    </w:rPr>
                    <w:t xml:space="preserve"> message including </w:t>
                  </w:r>
                  <w:r w:rsidRPr="0006353D">
                    <w:rPr>
                      <w:rFonts w:eastAsia="Batang"/>
                      <w:iCs/>
                      <w:u w:val="single"/>
                      <w:lang w:val="en-US"/>
                    </w:rPr>
                    <w:t>reconfigurationWithSync.</w:t>
                  </w:r>
                </w:p>
              </w:tc>
              <w:tc>
                <w:tcPr>
                  <w:tcW w:w="2098" w:type="dxa"/>
                  <w:tcBorders>
                    <w:top w:val="single" w:sz="4" w:space="0" w:color="auto"/>
                    <w:left w:val="single" w:sz="4" w:space="0" w:color="auto"/>
                    <w:bottom w:val="single" w:sz="4" w:space="0" w:color="auto"/>
                    <w:right w:val="single" w:sz="4" w:space="0" w:color="auto"/>
                  </w:tcBorders>
                </w:tcPr>
                <w:p w14:paraId="7E8D6A8E" w14:textId="77777777" w:rsidR="005359C5" w:rsidRPr="00F62F4C" w:rsidRDefault="005359C5" w:rsidP="005359C5">
                  <w:pPr>
                    <w:pStyle w:val="Comments"/>
                    <w:rPr>
                      <w:rFonts w:eastAsia="Batang"/>
                      <w:lang w:val="en-US"/>
                    </w:rPr>
                  </w:pPr>
                  <w:r w:rsidRPr="00F62F4C">
                    <w:rPr>
                      <w:rFonts w:eastAsia="Batang"/>
                      <w:lang w:val="en-US"/>
                    </w:rPr>
                    <w:t>Perform the actions as specified in 5.2.2.6.</w:t>
                  </w:r>
                </w:p>
              </w:tc>
            </w:tr>
          </w:tbl>
          <w:bookmarkEnd w:id="8"/>
          <w:p w14:paraId="51528A6D" w14:textId="266E7530" w:rsidR="00FA0A7B" w:rsidRDefault="00FA0A7B" w:rsidP="00FA0A7B">
            <w:pPr>
              <w:pStyle w:val="Comments"/>
              <w:spacing w:before="120"/>
            </w:pPr>
            <w:r>
              <w:t>epochTime</w:t>
            </w:r>
          </w:p>
          <w:p w14:paraId="66955D59" w14:textId="77777777" w:rsidR="00FA0A7B" w:rsidRDefault="00FA0A7B" w:rsidP="00FA0A7B">
            <w:pPr>
              <w:pStyle w:val="Comments"/>
              <w:rPr>
                <w:lang w:eastAsia="sv-SE"/>
              </w:rPr>
            </w:pPr>
            <w:r w:rsidRPr="000A7EFF">
              <w:rPr>
                <w:lang w:eastAsia="sv-SE"/>
              </w:rPr>
              <w:t xml:space="preserve">Indicate the epoch time for the NTN assistance information. When explicitly provided through SIB, or through dedicated signaling, </w:t>
            </w:r>
            <w:r w:rsidRPr="0006353D">
              <w:rPr>
                <w:u w:val="single"/>
                <w:lang w:eastAsia="sv-SE"/>
              </w:rPr>
              <w:t>The</w:t>
            </w:r>
            <w:r w:rsidRPr="000A7EFF">
              <w:rPr>
                <w:lang w:eastAsia="sv-SE"/>
              </w:rPr>
              <w:t xml:space="preserve"> </w:t>
            </w:r>
            <w:r>
              <w:rPr>
                <w:lang w:eastAsia="sv-SE"/>
              </w:rPr>
              <w:t>e</w:t>
            </w:r>
            <w:r w:rsidRPr="000A7EFF">
              <w:rPr>
                <w:lang w:eastAsia="sv-SE"/>
              </w:rPr>
              <w:t xml:space="preserve">pochTime is the starting time of a DL sub-frame, indicated by a SFN and a sub-frame number signaled together with the assistance information. </w:t>
            </w:r>
            <w:r w:rsidRPr="0006353D">
              <w:rPr>
                <w:u w:val="single"/>
                <w:lang w:eastAsia="sv-SE"/>
              </w:rPr>
              <w:t>For serving cell, the sfn indicates the current SFN or the next upcoming SFN after the frame where the message indicating the epochTime is received. For neighbour cell, the sfn indicates the SFN nearest to the frame where the message indicating the epochTime is received</w:t>
            </w:r>
            <w:r w:rsidRPr="0006353D">
              <w:rPr>
                <w:strike/>
                <w:lang w:eastAsia="sv-SE"/>
              </w:rPr>
              <w:t xml:space="preserve">Denoted by f0 the frame where the message indicating the epochTime is received and by f1 the frame </w:t>
            </w:r>
            <w:r w:rsidRPr="0006353D">
              <w:rPr>
                <w:strike/>
                <w:lang w:eastAsia="sv-SE"/>
              </w:rPr>
              <w:lastRenderedPageBreak/>
              <w:t>containing the DL sub-frame defining the epochTime. For serving cell, the UE considers f1 to be f0 if the indicated SFN equals the SFN of f0, or the next frame with the indicated SFN if the indicated SFN differs from the SFN of f0. For neighbor cell, the UE considers f1 to be the frame, with the indicated SFN, that is nearest to f0.</w:t>
            </w:r>
            <w:r w:rsidRPr="000A7EFF">
              <w:rPr>
                <w:lang w:eastAsia="sv-SE"/>
              </w:rPr>
              <w:t xml:space="preserve"> The reference point for epoch time of the serving </w:t>
            </w:r>
            <w:r w:rsidRPr="0006353D">
              <w:rPr>
                <w:strike/>
                <w:lang w:eastAsia="sv-SE"/>
              </w:rPr>
              <w:t xml:space="preserve">satellite </w:t>
            </w:r>
            <w:r w:rsidRPr="0006353D">
              <w:rPr>
                <w:u w:val="single"/>
                <w:lang w:eastAsia="sv-SE"/>
              </w:rPr>
              <w:t xml:space="preserve">NTN payload </w:t>
            </w:r>
            <w:r w:rsidRPr="000A7EFF">
              <w:rPr>
                <w:lang w:eastAsia="sv-SE"/>
              </w:rPr>
              <w:t>ephemeris and Common TA parameters is the uplink time synchronization reference point.</w:t>
            </w:r>
            <w:r w:rsidRPr="000A7EFF">
              <w:rPr>
                <w:lang w:eastAsia="ja-JP"/>
              </w:rPr>
              <w:t xml:space="preserve"> If this field is absent, the epoch time is the end of SI window where this SIB19 is scheduled. This field is mandatory present when provided in dedicated configuration. If this field is absent in ntn-Config provided via NTN-NeighCellConfig the UE uses epoch time </w:t>
            </w:r>
            <w:r w:rsidRPr="0006353D">
              <w:rPr>
                <w:strike/>
                <w:lang w:eastAsia="ja-JP"/>
              </w:rPr>
              <w:t xml:space="preserve">from </w:t>
            </w:r>
            <w:r w:rsidRPr="0006353D">
              <w:rPr>
                <w:u w:val="single"/>
                <w:lang w:eastAsia="ja-JP"/>
              </w:rPr>
              <w:t xml:space="preserve">of </w:t>
            </w:r>
            <w:r w:rsidRPr="000A7EFF">
              <w:rPr>
                <w:lang w:eastAsia="ja-JP"/>
              </w:rPr>
              <w:t xml:space="preserve">the serving </w:t>
            </w:r>
            <w:r w:rsidRPr="0006353D">
              <w:rPr>
                <w:strike/>
                <w:lang w:eastAsia="ja-JP"/>
              </w:rPr>
              <w:t>satellite ephemeris</w:t>
            </w:r>
            <w:r w:rsidRPr="0006353D">
              <w:rPr>
                <w:u w:val="single"/>
                <w:lang w:eastAsia="ja-JP"/>
              </w:rPr>
              <w:t>cell</w:t>
            </w:r>
            <w:r w:rsidRPr="000A7EFF">
              <w:rPr>
                <w:lang w:eastAsia="ja-JP"/>
              </w:rPr>
              <w:t>, otherwise the field is based on the timing of the serving cell, i.e. the SFN and sub-frame number indicated in this field refers to the SFN and sub-frame of the serving cell. In case of handover</w:t>
            </w:r>
            <w:r w:rsidRPr="0006353D">
              <w:rPr>
                <w:u w:val="single"/>
                <w:lang w:eastAsia="ja-JP"/>
              </w:rPr>
              <w:t xml:space="preserve"> or conditional handover</w:t>
            </w:r>
            <w:r w:rsidRPr="000A7EFF">
              <w:rPr>
                <w:lang w:eastAsia="ja-JP"/>
              </w:rPr>
              <w:t>, this field is based on the timing of the target cell, i.e. the SFN and sub-frame number indicated in this field refers to the SFN and sub-frame of the target cell</w:t>
            </w:r>
            <w:r>
              <w:rPr>
                <w:u w:val="single"/>
                <w:lang w:eastAsia="ja-JP"/>
              </w:rPr>
              <w:t>.</w:t>
            </w:r>
            <w:r>
              <w:rPr>
                <w:strike/>
                <w:lang w:eastAsia="ja-JP"/>
              </w:rPr>
              <w:t xml:space="preserve">, </w:t>
            </w:r>
            <w:r w:rsidRPr="00387F3D">
              <w:rPr>
                <w:strike/>
                <w:lang w:eastAsia="ja-JP"/>
              </w:rPr>
              <w:t>and</w:t>
            </w:r>
            <w:r w:rsidRPr="00387F3D">
              <w:rPr>
                <w:strike/>
              </w:rPr>
              <w:t xml:space="preserve"> </w:t>
            </w:r>
            <w:r w:rsidRPr="00FA0A7B">
              <w:rPr>
                <w:highlight w:val="yellow"/>
                <w:u w:val="single"/>
                <w:lang w:eastAsia="ja-JP"/>
              </w:rPr>
              <w:t>For the target cell,</w:t>
            </w:r>
            <w:r w:rsidRPr="00FA0A7B">
              <w:rPr>
                <w:highlight w:val="yellow"/>
                <w:lang w:eastAsia="ja-JP"/>
              </w:rPr>
              <w:t xml:space="preserve"> the UE considers </w:t>
            </w:r>
            <w:r w:rsidRPr="00FA0A7B">
              <w:rPr>
                <w:strike/>
                <w:highlight w:val="yellow"/>
                <w:lang w:eastAsia="ja-JP"/>
              </w:rPr>
              <w:t xml:space="preserve">the target cell </w:t>
            </w:r>
            <w:r w:rsidRPr="00FA0A7B">
              <w:rPr>
                <w:highlight w:val="yellow"/>
                <w:lang w:eastAsia="ja-JP"/>
              </w:rPr>
              <w:t xml:space="preserve">epoch time, indicated by the SFN and sub-frame number in this field, to be the </w:t>
            </w:r>
            <w:r w:rsidRPr="00FA0A7B">
              <w:rPr>
                <w:highlight w:val="yellow"/>
                <w:u w:val="single"/>
                <w:lang w:eastAsia="ja-JP"/>
              </w:rPr>
              <w:t xml:space="preserve">target cell </w:t>
            </w:r>
            <w:r w:rsidRPr="00FA0A7B">
              <w:rPr>
                <w:highlight w:val="yellow"/>
                <w:lang w:eastAsia="ja-JP"/>
              </w:rPr>
              <w:t xml:space="preserve">frame nearest to the </w:t>
            </w:r>
            <w:r w:rsidRPr="00FA0A7B">
              <w:rPr>
                <w:highlight w:val="yellow"/>
                <w:u w:val="single"/>
                <w:lang w:eastAsia="ja-JP"/>
              </w:rPr>
              <w:t xml:space="preserve">target cell </w:t>
            </w:r>
            <w:r w:rsidRPr="00FA0A7B">
              <w:rPr>
                <w:highlight w:val="yellow"/>
                <w:lang w:eastAsia="ja-JP"/>
              </w:rPr>
              <w:t>frame in which the message indicating the epoch time is received.</w:t>
            </w:r>
            <w:r w:rsidRPr="0002532E">
              <w:rPr>
                <w:lang w:eastAsia="ja-JP"/>
              </w:rPr>
              <w:t xml:space="preserve">  </w:t>
            </w:r>
            <w:r w:rsidRPr="0002532E">
              <w:rPr>
                <w:rFonts w:eastAsia="宋体"/>
                <w:lang w:eastAsia="zh-CN"/>
              </w:rPr>
              <w:t xml:space="preserve">This field is excluded when determining changes in system information, i.e. </w:t>
            </w:r>
            <w:r w:rsidRPr="00F15359">
              <w:rPr>
                <w:lang w:eastAsia="sv-SE"/>
              </w:rPr>
              <w:t xml:space="preserve">changes to epochTime should neither result in system information change notifications nor in a modification of </w:t>
            </w:r>
            <w:r w:rsidRPr="007B523A">
              <w:rPr>
                <w:lang w:eastAsia="sv-SE"/>
              </w:rPr>
              <w:t>valueTag in SIB1.</w:t>
            </w:r>
          </w:p>
          <w:p w14:paraId="19885B91" w14:textId="14CE4D13" w:rsidR="00DE766D" w:rsidRDefault="00DE766D" w:rsidP="00DE766D">
            <w:pPr>
              <w:keepNext/>
              <w:keepLines/>
              <w:overflowPunct w:val="0"/>
              <w:autoSpaceDE w:val="0"/>
              <w:autoSpaceDN w:val="0"/>
              <w:adjustRightInd w:val="0"/>
              <w:spacing w:before="120" w:after="180" w:line="259" w:lineRule="auto"/>
              <w:ind w:left="1418" w:hanging="1418"/>
              <w:textAlignment w:val="baseline"/>
              <w:outlineLvl w:val="3"/>
              <w:rPr>
                <w:bCs/>
                <w:i/>
                <w:iCs/>
                <w:sz w:val="20"/>
                <w:szCs w:val="20"/>
              </w:rPr>
            </w:pPr>
            <w:bookmarkStart w:id="9" w:name="_Toc115428439"/>
            <w:r>
              <w:rPr>
                <w:rFonts w:hint="eastAsia"/>
                <w:bCs/>
                <w:i/>
                <w:iCs/>
                <w:sz w:val="20"/>
                <w:szCs w:val="20"/>
              </w:rPr>
              <w:t>A</w:t>
            </w:r>
            <w:r>
              <w:rPr>
                <w:bCs/>
                <w:i/>
                <w:iCs/>
                <w:sz w:val="20"/>
                <w:szCs w:val="20"/>
              </w:rPr>
              <w:t>greed CR R2-2213028</w:t>
            </w:r>
          </w:p>
          <w:p w14:paraId="18B5A58F" w14:textId="55437FBD" w:rsidR="00DE766D" w:rsidRPr="00DE766D" w:rsidRDefault="00DE766D" w:rsidP="00DE766D">
            <w:pPr>
              <w:keepNext/>
              <w:keepLines/>
              <w:overflowPunct w:val="0"/>
              <w:autoSpaceDE w:val="0"/>
              <w:autoSpaceDN w:val="0"/>
              <w:adjustRightInd w:val="0"/>
              <w:spacing w:before="120" w:after="180" w:line="259" w:lineRule="auto"/>
              <w:ind w:left="1418" w:hanging="1418"/>
              <w:textAlignment w:val="baseline"/>
              <w:outlineLvl w:val="3"/>
              <w:rPr>
                <w:rFonts w:ascii="Arial" w:eastAsia="Times New Roman" w:hAnsi="Arial"/>
                <w:szCs w:val="20"/>
                <w:lang w:val="en-GB" w:eastAsia="ja-JP"/>
              </w:rPr>
            </w:pPr>
            <w:r w:rsidRPr="00DE766D">
              <w:rPr>
                <w:rFonts w:ascii="Arial" w:eastAsia="Times New Roman" w:hAnsi="Arial"/>
                <w:szCs w:val="20"/>
                <w:lang w:val="en-GB" w:eastAsia="ja-JP"/>
              </w:rPr>
              <w:t>5.2.2.6</w:t>
            </w:r>
            <w:r w:rsidRPr="00DE766D">
              <w:rPr>
                <w:rFonts w:ascii="Arial" w:eastAsia="Times New Roman" w:hAnsi="Arial"/>
                <w:szCs w:val="20"/>
                <w:lang w:val="en-GB" w:eastAsia="ja-JP"/>
              </w:rPr>
              <w:tab/>
              <w:t>T430 expiry</w:t>
            </w:r>
            <w:bookmarkEnd w:id="9"/>
          </w:p>
          <w:p w14:paraId="0B9D2409" w14:textId="77777777" w:rsidR="00DE766D" w:rsidRPr="00DE766D" w:rsidRDefault="00DE766D" w:rsidP="00DE766D">
            <w:pPr>
              <w:overflowPunct w:val="0"/>
              <w:autoSpaceDE w:val="0"/>
              <w:autoSpaceDN w:val="0"/>
              <w:adjustRightInd w:val="0"/>
              <w:spacing w:after="180" w:line="259" w:lineRule="auto"/>
              <w:textAlignment w:val="baseline"/>
              <w:rPr>
                <w:rFonts w:eastAsia="Times New Roman"/>
                <w:sz w:val="20"/>
                <w:szCs w:val="20"/>
                <w:lang w:val="en-GB" w:eastAsia="ja-JP"/>
              </w:rPr>
            </w:pPr>
            <w:r w:rsidRPr="00DE766D">
              <w:rPr>
                <w:rFonts w:eastAsia="Times New Roman"/>
                <w:sz w:val="20"/>
                <w:szCs w:val="20"/>
                <w:lang w:val="en-GB" w:eastAsia="ja-JP"/>
              </w:rPr>
              <w:t>The UE shall:</w:t>
            </w:r>
          </w:p>
          <w:p w14:paraId="267C32E1" w14:textId="77777777" w:rsidR="00DE766D" w:rsidRPr="00DE766D" w:rsidRDefault="00DE766D" w:rsidP="00DE766D">
            <w:pPr>
              <w:overflowPunct w:val="0"/>
              <w:autoSpaceDE w:val="0"/>
              <w:autoSpaceDN w:val="0"/>
              <w:adjustRightInd w:val="0"/>
              <w:spacing w:after="180" w:line="259" w:lineRule="auto"/>
              <w:ind w:left="568" w:hanging="284"/>
              <w:textAlignment w:val="baseline"/>
              <w:rPr>
                <w:rFonts w:eastAsia="Times New Roman"/>
                <w:sz w:val="20"/>
                <w:szCs w:val="20"/>
                <w:lang w:val="en-GB" w:eastAsia="ja-JP"/>
              </w:rPr>
            </w:pPr>
            <w:r w:rsidRPr="00DE766D">
              <w:rPr>
                <w:rFonts w:eastAsia="Times New Roman"/>
                <w:sz w:val="20"/>
                <w:szCs w:val="20"/>
                <w:lang w:val="en-GB" w:eastAsia="ja-JP"/>
              </w:rPr>
              <w:t>1&gt;</w:t>
            </w:r>
            <w:r w:rsidRPr="00DE766D">
              <w:rPr>
                <w:rFonts w:eastAsia="Times New Roman"/>
                <w:sz w:val="20"/>
                <w:szCs w:val="20"/>
                <w:lang w:val="en-GB" w:eastAsia="ja-JP"/>
              </w:rPr>
              <w:tab/>
              <w:t>if T430 for serving cell expires and if in RRC_CONNECTED:</w:t>
            </w:r>
          </w:p>
          <w:p w14:paraId="05B8B1C4" w14:textId="77777777" w:rsidR="00DE766D" w:rsidRPr="00DE766D" w:rsidRDefault="00DE766D" w:rsidP="00DE766D">
            <w:pPr>
              <w:overflowPunct w:val="0"/>
              <w:autoSpaceDE w:val="0"/>
              <w:autoSpaceDN w:val="0"/>
              <w:adjustRightInd w:val="0"/>
              <w:spacing w:after="180" w:line="259" w:lineRule="auto"/>
              <w:ind w:left="851" w:hanging="284"/>
              <w:textAlignment w:val="baseline"/>
              <w:rPr>
                <w:rFonts w:eastAsia="Times New Roman"/>
                <w:sz w:val="20"/>
                <w:szCs w:val="20"/>
                <w:lang w:val="en-GB" w:eastAsia="ja-JP"/>
              </w:rPr>
            </w:pPr>
            <w:r w:rsidRPr="00DE766D">
              <w:rPr>
                <w:rFonts w:eastAsia="Times New Roman"/>
                <w:sz w:val="20"/>
                <w:szCs w:val="20"/>
                <w:lang w:val="en-GB" w:eastAsia="ja-JP"/>
              </w:rPr>
              <w:t>2&gt;</w:t>
            </w:r>
            <w:r w:rsidRPr="00DE766D">
              <w:rPr>
                <w:rFonts w:eastAsia="Times New Roman"/>
                <w:sz w:val="20"/>
                <w:szCs w:val="20"/>
                <w:lang w:val="en-GB" w:eastAsia="ja-JP"/>
              </w:rPr>
              <w:tab/>
              <w:t>inform lower layers that UL synchronisation is lost;</w:t>
            </w:r>
          </w:p>
          <w:p w14:paraId="19885F62" w14:textId="77777777" w:rsidR="00DE766D" w:rsidRPr="00DE766D" w:rsidRDefault="00DE766D" w:rsidP="00DE766D">
            <w:pPr>
              <w:overflowPunct w:val="0"/>
              <w:autoSpaceDE w:val="0"/>
              <w:autoSpaceDN w:val="0"/>
              <w:adjustRightInd w:val="0"/>
              <w:spacing w:after="180" w:line="259" w:lineRule="auto"/>
              <w:ind w:left="851" w:hanging="284"/>
              <w:textAlignment w:val="baseline"/>
              <w:rPr>
                <w:rFonts w:eastAsia="Times New Roman"/>
                <w:sz w:val="20"/>
                <w:szCs w:val="20"/>
                <w:lang w:val="en-GB" w:eastAsia="ja-JP"/>
              </w:rPr>
            </w:pPr>
            <w:r w:rsidRPr="00DE766D">
              <w:rPr>
                <w:rFonts w:eastAsia="Times New Roman"/>
                <w:sz w:val="20"/>
                <w:szCs w:val="20"/>
                <w:lang w:val="en-GB" w:eastAsia="ja-JP"/>
              </w:rPr>
              <w:t>2&gt;</w:t>
            </w:r>
            <w:r w:rsidRPr="00DE766D">
              <w:rPr>
                <w:rFonts w:eastAsia="Times New Roman"/>
                <w:sz w:val="20"/>
                <w:szCs w:val="20"/>
                <w:lang w:val="en-GB" w:eastAsia="ja-JP"/>
              </w:rPr>
              <w:tab/>
              <w:t xml:space="preserve">acquire </w:t>
            </w:r>
            <w:r w:rsidRPr="00DE766D">
              <w:rPr>
                <w:rFonts w:eastAsia="Times New Roman"/>
                <w:i/>
                <w:iCs/>
                <w:sz w:val="20"/>
                <w:szCs w:val="20"/>
                <w:lang w:val="en-GB" w:eastAsia="ja-JP"/>
              </w:rPr>
              <w:t>SIB19</w:t>
            </w:r>
            <w:r w:rsidRPr="00DE766D">
              <w:rPr>
                <w:rFonts w:eastAsia="Times New Roman"/>
                <w:sz w:val="20"/>
                <w:szCs w:val="20"/>
                <w:lang w:val="en-GB" w:eastAsia="ja-JP"/>
              </w:rPr>
              <w:t xml:space="preserve"> as defined in clause 5.2.2.3.2;</w:t>
            </w:r>
          </w:p>
          <w:p w14:paraId="1FBFE867" w14:textId="77777777" w:rsidR="00DE766D" w:rsidRPr="00DE766D" w:rsidRDefault="00DE766D" w:rsidP="00DE766D">
            <w:pPr>
              <w:overflowPunct w:val="0"/>
              <w:autoSpaceDE w:val="0"/>
              <w:autoSpaceDN w:val="0"/>
              <w:adjustRightInd w:val="0"/>
              <w:spacing w:after="180" w:line="259" w:lineRule="auto"/>
              <w:ind w:left="851" w:hanging="284"/>
              <w:textAlignment w:val="baseline"/>
              <w:rPr>
                <w:rFonts w:eastAsia="Times New Roman"/>
                <w:sz w:val="20"/>
                <w:szCs w:val="20"/>
                <w:lang w:val="en-GB" w:eastAsia="ja-JP"/>
              </w:rPr>
            </w:pPr>
            <w:r w:rsidRPr="00DE766D">
              <w:rPr>
                <w:rFonts w:eastAsia="Times New Roman"/>
                <w:sz w:val="20"/>
                <w:szCs w:val="20"/>
                <w:lang w:val="en-GB" w:eastAsia="ja-JP"/>
              </w:rPr>
              <w:t>2&gt;</w:t>
            </w:r>
            <w:r w:rsidRPr="00DE766D">
              <w:rPr>
                <w:rFonts w:eastAsia="Times New Roman"/>
                <w:sz w:val="20"/>
                <w:szCs w:val="20"/>
                <w:lang w:val="en-GB" w:eastAsia="ja-JP"/>
              </w:rPr>
              <w:tab/>
              <w:t xml:space="preserve">upon successful acquisition of </w:t>
            </w:r>
            <w:r w:rsidRPr="00DE766D">
              <w:rPr>
                <w:rFonts w:eastAsia="Times New Roman"/>
                <w:i/>
                <w:iCs/>
                <w:sz w:val="20"/>
                <w:szCs w:val="20"/>
                <w:lang w:val="en-GB" w:eastAsia="zh-TW"/>
              </w:rPr>
              <w:t>SIB19</w:t>
            </w:r>
            <w:r w:rsidRPr="00DE766D">
              <w:rPr>
                <w:rFonts w:eastAsia="Times New Roman"/>
                <w:sz w:val="20"/>
                <w:szCs w:val="20"/>
                <w:lang w:val="en-GB" w:eastAsia="ja-JP"/>
              </w:rPr>
              <w:t>:</w:t>
            </w:r>
          </w:p>
          <w:p w14:paraId="20437AEE" w14:textId="77777777" w:rsidR="00DE766D" w:rsidRPr="00DE766D" w:rsidRDefault="00DE766D" w:rsidP="00DE766D">
            <w:pPr>
              <w:overflowPunct w:val="0"/>
              <w:autoSpaceDE w:val="0"/>
              <w:autoSpaceDN w:val="0"/>
              <w:adjustRightInd w:val="0"/>
              <w:spacing w:after="180" w:line="259" w:lineRule="auto"/>
              <w:ind w:left="1135" w:hanging="284"/>
              <w:textAlignment w:val="baseline"/>
              <w:rPr>
                <w:rFonts w:eastAsia="Times New Roman"/>
                <w:sz w:val="20"/>
                <w:szCs w:val="20"/>
                <w:highlight w:val="yellow"/>
                <w:lang w:val="en-GB" w:eastAsia="ja-JP"/>
              </w:rPr>
            </w:pPr>
            <w:r w:rsidRPr="00DE766D">
              <w:rPr>
                <w:rFonts w:eastAsia="Times New Roman"/>
                <w:sz w:val="20"/>
                <w:szCs w:val="20"/>
                <w:lang w:val="en-GB" w:eastAsia="ja-JP"/>
              </w:rPr>
              <w:t>3&gt;</w:t>
            </w:r>
            <w:r w:rsidRPr="00DE766D">
              <w:rPr>
                <w:rFonts w:eastAsia="Times New Roman"/>
                <w:sz w:val="20"/>
                <w:szCs w:val="20"/>
                <w:lang w:val="en-GB" w:eastAsia="ja-JP"/>
              </w:rPr>
              <w:tab/>
              <w:t xml:space="preserve">inform lower layers </w:t>
            </w:r>
            <w:r w:rsidRPr="00DE766D">
              <w:rPr>
                <w:rFonts w:eastAsia="Times New Roman"/>
                <w:sz w:val="20"/>
                <w:szCs w:val="20"/>
                <w:highlight w:val="yellow"/>
                <w:lang w:val="en-GB" w:eastAsia="ja-JP"/>
              </w:rPr>
              <w:t>when UL synchronisation is obtained;</w:t>
            </w:r>
          </w:p>
          <w:p w14:paraId="6D9CA966" w14:textId="496F84C7" w:rsidR="00DE766D" w:rsidRPr="00DE766D" w:rsidRDefault="00DE766D" w:rsidP="00DE766D">
            <w:pPr>
              <w:keepLines/>
              <w:overflowPunct w:val="0"/>
              <w:autoSpaceDE w:val="0"/>
              <w:autoSpaceDN w:val="0"/>
              <w:adjustRightInd w:val="0"/>
              <w:spacing w:after="180" w:line="259" w:lineRule="auto"/>
              <w:ind w:left="1135" w:hanging="851"/>
              <w:textAlignment w:val="baseline"/>
              <w:rPr>
                <w:rFonts w:eastAsia="Yu Mincho"/>
                <w:sz w:val="20"/>
                <w:szCs w:val="20"/>
                <w:lang w:val="en-GB" w:eastAsia="ja-JP"/>
              </w:rPr>
            </w:pPr>
            <w:r w:rsidRPr="00DE766D">
              <w:rPr>
                <w:rFonts w:eastAsia="Times New Roman"/>
                <w:sz w:val="20"/>
                <w:szCs w:val="20"/>
                <w:highlight w:val="yellow"/>
                <w:lang w:val="en-GB" w:eastAsia="ja-JP"/>
              </w:rPr>
              <w:t>NOTE:</w:t>
            </w:r>
            <w:r w:rsidRPr="00DE766D">
              <w:rPr>
                <w:rFonts w:eastAsia="Times New Roman"/>
                <w:sz w:val="20"/>
                <w:szCs w:val="20"/>
                <w:highlight w:val="yellow"/>
                <w:lang w:val="en-GB" w:eastAsia="ja-JP"/>
              </w:rPr>
              <w:tab/>
              <w:t xml:space="preserve">The exact time when UL synchronisation is obtained (after SIB19 is acquired) is left to UE implementation, which can be from the subframe indicated by </w:t>
            </w:r>
            <w:r w:rsidRPr="00DE766D">
              <w:rPr>
                <w:rFonts w:eastAsia="Times New Roman"/>
                <w:i/>
                <w:iCs/>
                <w:sz w:val="20"/>
                <w:szCs w:val="20"/>
                <w:highlight w:val="yellow"/>
                <w:lang w:val="en-GB" w:eastAsia="ja-JP"/>
              </w:rPr>
              <w:t>epochTime</w:t>
            </w:r>
            <w:r w:rsidRPr="00DE766D">
              <w:rPr>
                <w:rFonts w:eastAsia="Times New Roman"/>
                <w:sz w:val="20"/>
                <w:szCs w:val="20"/>
                <w:highlight w:val="yellow"/>
                <w:lang w:val="en-GB" w:eastAsia="ja-JP"/>
              </w:rPr>
              <w:t xml:space="preserve"> and optionally before the subframe indicated by </w:t>
            </w:r>
            <w:r w:rsidRPr="00DE766D">
              <w:rPr>
                <w:rFonts w:eastAsia="Times New Roman"/>
                <w:i/>
                <w:iCs/>
                <w:sz w:val="20"/>
                <w:szCs w:val="20"/>
                <w:highlight w:val="yellow"/>
                <w:lang w:val="en-GB" w:eastAsia="ja-JP"/>
              </w:rPr>
              <w:t>epochTime</w:t>
            </w:r>
            <w:r w:rsidRPr="00DE766D">
              <w:rPr>
                <w:rFonts w:eastAsia="Times New Roman"/>
                <w:sz w:val="20"/>
                <w:szCs w:val="20"/>
                <w:highlight w:val="yellow"/>
                <w:lang w:val="en-GB" w:eastAsia="ja-JP"/>
              </w:rPr>
              <w:t>.</w:t>
            </w:r>
          </w:p>
        </w:tc>
      </w:tr>
    </w:tbl>
    <w:bookmarkEnd w:id="7"/>
    <w:p w14:paraId="1988F798" w14:textId="72E8B3A6" w:rsidR="00F2197C" w:rsidRDefault="00F2197C" w:rsidP="00F2197C">
      <w:pPr>
        <w:pStyle w:val="1"/>
        <w:numPr>
          <w:ilvl w:val="0"/>
          <w:numId w:val="2"/>
        </w:numPr>
        <w:spacing w:before="120" w:after="60" w:line="240" w:lineRule="auto"/>
        <w:rPr>
          <w:rFonts w:ascii="Times New Roman" w:hAnsi="Times New Roman"/>
          <w:b w:val="0"/>
          <w:bCs w:val="0"/>
          <w:kern w:val="0"/>
          <w:sz w:val="36"/>
          <w:szCs w:val="36"/>
        </w:rPr>
      </w:pPr>
      <w:r>
        <w:rPr>
          <w:rFonts w:ascii="Times New Roman" w:hAnsi="Times New Roman"/>
          <w:b w:val="0"/>
          <w:bCs w:val="0"/>
          <w:kern w:val="0"/>
          <w:sz w:val="36"/>
          <w:szCs w:val="36"/>
        </w:rPr>
        <w:lastRenderedPageBreak/>
        <w:t>Discussion</w:t>
      </w:r>
    </w:p>
    <w:p w14:paraId="419CD12A" w14:textId="52495C3D" w:rsidR="003F5773" w:rsidRDefault="00F2197C" w:rsidP="00F2197C">
      <w:pPr>
        <w:tabs>
          <w:tab w:val="left" w:pos="1134"/>
        </w:tabs>
        <w:spacing w:before="60" w:line="240" w:lineRule="exact"/>
        <w:rPr>
          <w:sz w:val="20"/>
          <w:szCs w:val="20"/>
        </w:rPr>
      </w:pPr>
      <w:r>
        <w:rPr>
          <w:sz w:val="20"/>
          <w:szCs w:val="20"/>
        </w:rPr>
        <w:t>Based on our understanding</w:t>
      </w:r>
      <w:r w:rsidR="0036516D">
        <w:rPr>
          <w:sz w:val="20"/>
          <w:szCs w:val="20"/>
        </w:rPr>
        <w:t xml:space="preserve"> on RAN2’s latest agreement</w:t>
      </w:r>
      <w:r w:rsidR="00A92ADF">
        <w:rPr>
          <w:sz w:val="20"/>
          <w:szCs w:val="20"/>
        </w:rPr>
        <w:t>,</w:t>
      </w:r>
      <w:r>
        <w:rPr>
          <w:sz w:val="20"/>
          <w:szCs w:val="20"/>
        </w:rPr>
        <w:t xml:space="preserve"> </w:t>
      </w:r>
      <w:r w:rsidR="0036516D">
        <w:rPr>
          <w:sz w:val="20"/>
          <w:szCs w:val="20"/>
        </w:rPr>
        <w:t>when</w:t>
      </w:r>
      <w:r w:rsidR="00F60151">
        <w:rPr>
          <w:sz w:val="20"/>
          <w:szCs w:val="20"/>
        </w:rPr>
        <w:t xml:space="preserve"> the subframe indicated by</w:t>
      </w:r>
      <w:r w:rsidR="0036516D">
        <w:rPr>
          <w:sz w:val="20"/>
          <w:szCs w:val="20"/>
        </w:rPr>
        <w:t xml:space="preserve"> </w:t>
      </w:r>
      <w:r w:rsidR="0036516D" w:rsidRPr="00DA08F0">
        <w:rPr>
          <w:i/>
          <w:iCs/>
          <w:sz w:val="20"/>
          <w:szCs w:val="20"/>
        </w:rPr>
        <w:t>epoch</w:t>
      </w:r>
      <w:r w:rsidR="00F60151" w:rsidRPr="00DA08F0">
        <w:rPr>
          <w:i/>
          <w:iCs/>
          <w:sz w:val="20"/>
          <w:szCs w:val="20"/>
        </w:rPr>
        <w:t>T</w:t>
      </w:r>
      <w:r w:rsidR="0036516D" w:rsidRPr="00DA08F0">
        <w:rPr>
          <w:i/>
          <w:iCs/>
          <w:sz w:val="20"/>
          <w:szCs w:val="20"/>
        </w:rPr>
        <w:t>ime</w:t>
      </w:r>
      <w:r w:rsidR="0036516D">
        <w:rPr>
          <w:sz w:val="20"/>
          <w:szCs w:val="20"/>
        </w:rPr>
        <w:t xml:space="preserve"> is later than </w:t>
      </w:r>
      <w:r w:rsidR="00F60151">
        <w:rPr>
          <w:sz w:val="20"/>
          <w:szCs w:val="20"/>
        </w:rPr>
        <w:t>PRACH transmission</w:t>
      </w:r>
      <w:r w:rsidR="0036516D">
        <w:rPr>
          <w:sz w:val="20"/>
          <w:szCs w:val="20"/>
        </w:rPr>
        <w:t xml:space="preserve">, </w:t>
      </w:r>
      <w:r w:rsidR="003F5773">
        <w:rPr>
          <w:sz w:val="20"/>
          <w:szCs w:val="20"/>
        </w:rPr>
        <w:t xml:space="preserve">whether a waiting time </w:t>
      </w:r>
      <w:r w:rsidR="009E1127">
        <w:rPr>
          <w:sz w:val="20"/>
          <w:szCs w:val="20"/>
        </w:rPr>
        <w:t xml:space="preserve">is needed or not </w:t>
      </w:r>
      <w:r w:rsidR="003F5773">
        <w:rPr>
          <w:sz w:val="20"/>
          <w:szCs w:val="20"/>
        </w:rPr>
        <w:t xml:space="preserve">for obtaining UL synchronization </w:t>
      </w:r>
      <w:r w:rsidR="009E1127">
        <w:rPr>
          <w:sz w:val="20"/>
          <w:szCs w:val="20"/>
        </w:rPr>
        <w:t>depends on</w:t>
      </w:r>
      <w:r w:rsidR="003F5773">
        <w:rPr>
          <w:sz w:val="20"/>
          <w:szCs w:val="20"/>
        </w:rPr>
        <w:t xml:space="preserve"> UE implementation.</w:t>
      </w:r>
    </w:p>
    <w:p w14:paraId="201A5129" w14:textId="18574D7E" w:rsidR="00CF61D6" w:rsidRDefault="003F5773" w:rsidP="00F2197C">
      <w:pPr>
        <w:tabs>
          <w:tab w:val="left" w:pos="1134"/>
        </w:tabs>
        <w:spacing w:before="60" w:line="240" w:lineRule="exact"/>
        <w:rPr>
          <w:sz w:val="20"/>
          <w:szCs w:val="20"/>
        </w:rPr>
      </w:pPr>
      <w:r>
        <w:rPr>
          <w:sz w:val="20"/>
          <w:szCs w:val="20"/>
        </w:rPr>
        <w:t xml:space="preserve">From RAN4 minimum requirement perspective, </w:t>
      </w:r>
      <w:r w:rsidR="009E1127">
        <w:rPr>
          <w:sz w:val="20"/>
          <w:szCs w:val="20"/>
        </w:rPr>
        <w:t>we should take the worst case into account. W</w:t>
      </w:r>
      <w:r>
        <w:rPr>
          <w:sz w:val="20"/>
          <w:szCs w:val="20"/>
        </w:rPr>
        <w:t>hen</w:t>
      </w:r>
      <w:r w:rsidR="00F60151">
        <w:rPr>
          <w:sz w:val="20"/>
          <w:szCs w:val="20"/>
        </w:rPr>
        <w:t xml:space="preserve"> the subframe indicated by</w:t>
      </w:r>
      <w:r>
        <w:rPr>
          <w:sz w:val="20"/>
          <w:szCs w:val="20"/>
        </w:rPr>
        <w:t xml:space="preserve"> </w:t>
      </w:r>
      <w:r w:rsidR="009E1127" w:rsidRPr="00DA08F0">
        <w:rPr>
          <w:i/>
          <w:iCs/>
          <w:sz w:val="20"/>
          <w:szCs w:val="20"/>
        </w:rPr>
        <w:t>epoch</w:t>
      </w:r>
      <w:r w:rsidR="00F60151" w:rsidRPr="00DA08F0">
        <w:rPr>
          <w:i/>
          <w:iCs/>
          <w:sz w:val="20"/>
          <w:szCs w:val="20"/>
        </w:rPr>
        <w:t>T</w:t>
      </w:r>
      <w:r w:rsidR="009E1127" w:rsidRPr="00DA08F0">
        <w:rPr>
          <w:i/>
          <w:iCs/>
          <w:sz w:val="20"/>
          <w:szCs w:val="20"/>
        </w:rPr>
        <w:t>ime</w:t>
      </w:r>
      <w:r w:rsidR="009E1127">
        <w:rPr>
          <w:sz w:val="20"/>
          <w:szCs w:val="20"/>
        </w:rPr>
        <w:t xml:space="preserve"> is later than </w:t>
      </w:r>
      <w:r w:rsidR="00F60151">
        <w:rPr>
          <w:sz w:val="20"/>
          <w:szCs w:val="20"/>
        </w:rPr>
        <w:t xml:space="preserve">PRACH </w:t>
      </w:r>
      <w:r w:rsidR="00F60151">
        <w:rPr>
          <w:rFonts w:hint="eastAsia"/>
          <w:sz w:val="20"/>
          <w:szCs w:val="20"/>
        </w:rPr>
        <w:t>transmi</w:t>
      </w:r>
      <w:r w:rsidR="00F60151">
        <w:rPr>
          <w:sz w:val="20"/>
          <w:szCs w:val="20"/>
        </w:rPr>
        <w:t>ss</w:t>
      </w:r>
      <w:r w:rsidR="00F60151">
        <w:rPr>
          <w:rFonts w:hint="eastAsia"/>
          <w:sz w:val="20"/>
          <w:szCs w:val="20"/>
        </w:rPr>
        <w:t>ion</w:t>
      </w:r>
      <w:r w:rsidR="009E1127">
        <w:rPr>
          <w:sz w:val="20"/>
          <w:szCs w:val="20"/>
        </w:rPr>
        <w:t>, the additional waiting time is needed.</w:t>
      </w:r>
    </w:p>
    <w:p w14:paraId="41A303DC" w14:textId="404A0C64" w:rsidR="009E1127" w:rsidRDefault="00CF61D6" w:rsidP="00F2197C">
      <w:pPr>
        <w:tabs>
          <w:tab w:val="left" w:pos="1134"/>
        </w:tabs>
        <w:spacing w:before="60" w:line="240" w:lineRule="exact"/>
        <w:rPr>
          <w:sz w:val="20"/>
          <w:szCs w:val="20"/>
        </w:rPr>
      </w:pPr>
      <w:r>
        <w:rPr>
          <w:sz w:val="20"/>
          <w:szCs w:val="20"/>
        </w:rPr>
        <w:t xml:space="preserve">As for how to capture this additional waiting time, </w:t>
      </w:r>
      <w:r w:rsidR="00B95B6C">
        <w:rPr>
          <w:rFonts w:hint="eastAsia"/>
          <w:sz w:val="20"/>
          <w:szCs w:val="20"/>
        </w:rPr>
        <w:t>w</w:t>
      </w:r>
      <w:r w:rsidR="00B95B6C">
        <w:rPr>
          <w:sz w:val="20"/>
          <w:szCs w:val="20"/>
        </w:rPr>
        <w:t xml:space="preserve">e think </w:t>
      </w:r>
      <w:r>
        <w:rPr>
          <w:sz w:val="20"/>
          <w:szCs w:val="20"/>
        </w:rPr>
        <w:t xml:space="preserve">there are two </w:t>
      </w:r>
      <w:r w:rsidR="00B95B6C">
        <w:rPr>
          <w:sz w:val="20"/>
          <w:szCs w:val="20"/>
        </w:rPr>
        <w:t xml:space="preserve">possible </w:t>
      </w:r>
      <w:r>
        <w:rPr>
          <w:sz w:val="20"/>
          <w:szCs w:val="20"/>
        </w:rPr>
        <w:t>ways:</w:t>
      </w:r>
    </w:p>
    <w:p w14:paraId="014B950D" w14:textId="7BEEE11C" w:rsidR="00CF61D6" w:rsidRDefault="00713FC7" w:rsidP="00F2197C">
      <w:pPr>
        <w:tabs>
          <w:tab w:val="left" w:pos="1134"/>
        </w:tabs>
        <w:spacing w:before="60" w:line="240" w:lineRule="exact"/>
        <w:rPr>
          <w:sz w:val="20"/>
          <w:szCs w:val="20"/>
        </w:rPr>
      </w:pPr>
      <w:r>
        <w:rPr>
          <w:rFonts w:hint="eastAsia"/>
          <w:sz w:val="20"/>
          <w:szCs w:val="20"/>
        </w:rPr>
        <w:t>1</w:t>
      </w:r>
      <w:r>
        <w:rPr>
          <w:sz w:val="20"/>
          <w:szCs w:val="20"/>
        </w:rPr>
        <w:t>. Add a T</w:t>
      </w:r>
      <w:r w:rsidRPr="00713FC7">
        <w:rPr>
          <w:sz w:val="20"/>
          <w:szCs w:val="20"/>
          <w:vertAlign w:val="subscript"/>
        </w:rPr>
        <w:t>EU</w:t>
      </w:r>
      <w:r>
        <w:rPr>
          <w:sz w:val="20"/>
          <w:szCs w:val="20"/>
        </w:rPr>
        <w:t xml:space="preserve"> in T</w:t>
      </w:r>
      <w:r w:rsidRPr="00713FC7">
        <w:rPr>
          <w:sz w:val="20"/>
          <w:szCs w:val="20"/>
          <w:vertAlign w:val="subscript"/>
        </w:rPr>
        <w:t>interrupt</w:t>
      </w:r>
      <w:r>
        <w:rPr>
          <w:sz w:val="20"/>
          <w:szCs w:val="20"/>
        </w:rPr>
        <w:t>, T</w:t>
      </w:r>
      <w:r w:rsidRPr="00713FC7">
        <w:rPr>
          <w:sz w:val="20"/>
          <w:szCs w:val="20"/>
          <w:vertAlign w:val="subscript"/>
        </w:rPr>
        <w:t>EU</w:t>
      </w:r>
      <w:r>
        <w:rPr>
          <w:sz w:val="20"/>
          <w:szCs w:val="20"/>
        </w:rPr>
        <w:t xml:space="preserve"> is the </w:t>
      </w:r>
      <w:r w:rsidR="00844A4B">
        <w:rPr>
          <w:sz w:val="20"/>
          <w:szCs w:val="20"/>
        </w:rPr>
        <w:t>epoch t</w:t>
      </w:r>
      <w:r>
        <w:rPr>
          <w:sz w:val="20"/>
          <w:szCs w:val="20"/>
        </w:rPr>
        <w:t xml:space="preserve">ime uncertainty </w:t>
      </w:r>
      <w:r w:rsidR="00C4162A">
        <w:rPr>
          <w:sz w:val="20"/>
          <w:szCs w:val="20"/>
        </w:rPr>
        <w:t>in obtaining the UL synchronization</w:t>
      </w:r>
      <w:r w:rsidR="002C4CBB">
        <w:rPr>
          <w:sz w:val="20"/>
          <w:szCs w:val="20"/>
        </w:rPr>
        <w:t xml:space="preserve">, which is up to the subframe indicated by </w:t>
      </w:r>
      <w:r w:rsidR="002C4CBB" w:rsidRPr="002C4CBB">
        <w:rPr>
          <w:i/>
          <w:iCs/>
          <w:sz w:val="20"/>
          <w:szCs w:val="20"/>
        </w:rPr>
        <w:t>epochTime</w:t>
      </w:r>
      <w:r w:rsidR="00C4162A">
        <w:rPr>
          <w:sz w:val="20"/>
          <w:szCs w:val="20"/>
        </w:rPr>
        <w:t>.</w:t>
      </w:r>
    </w:p>
    <w:p w14:paraId="5A416DFD" w14:textId="5EE25274" w:rsidR="00C4162A" w:rsidRPr="00C4162A" w:rsidRDefault="00C4162A" w:rsidP="00C4162A">
      <w:pPr>
        <w:tabs>
          <w:tab w:val="left" w:pos="1134"/>
        </w:tabs>
        <w:spacing w:before="60" w:line="240" w:lineRule="exact"/>
        <w:jc w:val="center"/>
        <w:rPr>
          <w:sz w:val="20"/>
          <w:szCs w:val="20"/>
          <w:lang w:val="en-GB"/>
        </w:rPr>
      </w:pPr>
      <w:r w:rsidRPr="00C4162A">
        <w:rPr>
          <w:sz w:val="20"/>
          <w:szCs w:val="20"/>
          <w:lang w:val="en-GB"/>
        </w:rPr>
        <w:t>T</w:t>
      </w:r>
      <w:r w:rsidRPr="00C4162A">
        <w:rPr>
          <w:sz w:val="20"/>
          <w:szCs w:val="20"/>
          <w:vertAlign w:val="subscript"/>
          <w:lang w:val="en-GB"/>
        </w:rPr>
        <w:t>interrupt</w:t>
      </w:r>
      <w:r w:rsidRPr="00C4162A">
        <w:rPr>
          <w:sz w:val="20"/>
          <w:szCs w:val="20"/>
          <w:lang w:val="en-GB"/>
        </w:rPr>
        <w:t xml:space="preserve"> = T</w:t>
      </w:r>
      <w:r w:rsidRPr="00C4162A">
        <w:rPr>
          <w:sz w:val="20"/>
          <w:szCs w:val="20"/>
          <w:vertAlign w:val="subscript"/>
          <w:lang w:val="en-GB"/>
        </w:rPr>
        <w:t>search</w:t>
      </w:r>
      <w:r w:rsidRPr="00C4162A">
        <w:rPr>
          <w:sz w:val="20"/>
          <w:szCs w:val="20"/>
          <w:lang w:val="en-GB"/>
        </w:rPr>
        <w:t xml:space="preserve"> + </w:t>
      </w:r>
      <w:r>
        <w:rPr>
          <w:sz w:val="20"/>
          <w:szCs w:val="20"/>
          <w:lang w:val="en-GB"/>
        </w:rPr>
        <w:t>max(</w:t>
      </w:r>
      <w:r w:rsidRPr="00C4162A">
        <w:rPr>
          <w:sz w:val="20"/>
          <w:szCs w:val="20"/>
          <w:lang w:val="en-GB"/>
        </w:rPr>
        <w:t>T</w:t>
      </w:r>
      <w:r w:rsidRPr="00C4162A">
        <w:rPr>
          <w:sz w:val="20"/>
          <w:szCs w:val="20"/>
          <w:vertAlign w:val="subscript"/>
          <w:lang w:val="en-GB"/>
        </w:rPr>
        <w:t>IU</w:t>
      </w:r>
      <w:r w:rsidRPr="00C4162A">
        <w:rPr>
          <w:sz w:val="20"/>
          <w:szCs w:val="20"/>
          <w:lang w:val="en-GB"/>
        </w:rPr>
        <w:t xml:space="preserve"> </w:t>
      </w:r>
      <w:r>
        <w:rPr>
          <w:sz w:val="20"/>
          <w:szCs w:val="20"/>
          <w:lang w:val="en-GB"/>
        </w:rPr>
        <w:t>, T</w:t>
      </w:r>
      <w:r w:rsidRPr="00C4162A">
        <w:rPr>
          <w:sz w:val="20"/>
          <w:szCs w:val="20"/>
          <w:vertAlign w:val="subscript"/>
          <w:lang w:val="en-GB"/>
        </w:rPr>
        <w:t>EU</w:t>
      </w:r>
      <w:r>
        <w:rPr>
          <w:sz w:val="20"/>
          <w:szCs w:val="20"/>
          <w:lang w:val="en-GB"/>
        </w:rPr>
        <w:t>)</w:t>
      </w:r>
      <w:r w:rsidRPr="00C4162A">
        <w:rPr>
          <w:sz w:val="20"/>
          <w:szCs w:val="20"/>
          <w:lang w:val="en-GB"/>
        </w:rPr>
        <w:t>+ T</w:t>
      </w:r>
      <w:r w:rsidRPr="00C4162A">
        <w:rPr>
          <w:sz w:val="20"/>
          <w:szCs w:val="20"/>
          <w:vertAlign w:val="subscript"/>
          <w:lang w:val="en-GB"/>
        </w:rPr>
        <w:t>processing</w:t>
      </w:r>
      <w:r w:rsidRPr="00C4162A" w:rsidDel="001D62E5">
        <w:rPr>
          <w:sz w:val="20"/>
          <w:szCs w:val="20"/>
          <w:lang w:val="en-GB"/>
        </w:rPr>
        <w:t xml:space="preserve"> </w:t>
      </w:r>
      <w:r w:rsidRPr="00C4162A">
        <w:rPr>
          <w:sz w:val="20"/>
          <w:szCs w:val="20"/>
          <w:vertAlign w:val="subscript"/>
          <w:lang w:val="en-GB"/>
        </w:rPr>
        <w:t xml:space="preserve"> </w:t>
      </w:r>
      <w:r w:rsidRPr="00C4162A">
        <w:rPr>
          <w:sz w:val="20"/>
          <w:szCs w:val="20"/>
          <w:lang w:val="en-GB"/>
        </w:rPr>
        <w:t>+ T</w:t>
      </w:r>
      <w:r w:rsidRPr="00C4162A">
        <w:rPr>
          <w:sz w:val="20"/>
          <w:szCs w:val="20"/>
          <w:vertAlign w:val="subscript"/>
          <w:lang w:val="en-GB"/>
        </w:rPr>
        <w:t>∆</w:t>
      </w:r>
      <w:r w:rsidRPr="00C4162A">
        <w:rPr>
          <w:sz w:val="20"/>
          <w:szCs w:val="20"/>
          <w:lang w:val="en-GB"/>
        </w:rPr>
        <w:t xml:space="preserve"> + T</w:t>
      </w:r>
      <w:r w:rsidRPr="00C4162A">
        <w:rPr>
          <w:sz w:val="20"/>
          <w:szCs w:val="20"/>
          <w:vertAlign w:val="subscript"/>
          <w:lang w:val="en-GB"/>
        </w:rPr>
        <w:t xml:space="preserve">margin </w:t>
      </w:r>
      <w:r w:rsidRPr="00C4162A">
        <w:rPr>
          <w:sz w:val="20"/>
          <w:szCs w:val="20"/>
          <w:lang w:val="en-GB"/>
        </w:rPr>
        <w:t>ms</w:t>
      </w:r>
    </w:p>
    <w:p w14:paraId="3FF85BC6" w14:textId="395D7337" w:rsidR="00C4162A" w:rsidRPr="00C4162A" w:rsidRDefault="00C4162A" w:rsidP="00F2197C">
      <w:pPr>
        <w:tabs>
          <w:tab w:val="left" w:pos="1134"/>
        </w:tabs>
        <w:spacing w:before="60" w:line="240" w:lineRule="exact"/>
        <w:rPr>
          <w:sz w:val="20"/>
          <w:szCs w:val="20"/>
          <w:lang w:val="en-GB"/>
        </w:rPr>
      </w:pPr>
      <w:r>
        <w:rPr>
          <w:rFonts w:hint="eastAsia"/>
          <w:sz w:val="20"/>
          <w:szCs w:val="20"/>
          <w:lang w:val="en-GB"/>
        </w:rPr>
        <w:t>2</w:t>
      </w:r>
      <w:r>
        <w:rPr>
          <w:sz w:val="20"/>
          <w:szCs w:val="20"/>
          <w:lang w:val="en-GB"/>
        </w:rPr>
        <w:t>. Give a general description</w:t>
      </w:r>
      <w:r w:rsidR="000D061B">
        <w:rPr>
          <w:sz w:val="20"/>
          <w:szCs w:val="20"/>
          <w:lang w:val="en-GB"/>
        </w:rPr>
        <w:t xml:space="preserve"> </w:t>
      </w:r>
      <w:r w:rsidR="000D061B">
        <w:rPr>
          <w:rFonts w:hint="eastAsia"/>
          <w:sz w:val="20"/>
          <w:szCs w:val="20"/>
          <w:lang w:val="en-GB"/>
        </w:rPr>
        <w:t>to</w:t>
      </w:r>
      <w:r w:rsidR="000D061B">
        <w:rPr>
          <w:sz w:val="20"/>
          <w:szCs w:val="20"/>
          <w:lang w:val="en-GB"/>
        </w:rPr>
        <w:t xml:space="preserve"> clarify that the requirement will be extended if UE could not obtain the UL synchronization before the PRACH transmission.</w:t>
      </w:r>
    </w:p>
    <w:p w14:paraId="31485975" w14:textId="18DEB96B" w:rsidR="009E1127" w:rsidRDefault="00CE4151" w:rsidP="00F2197C">
      <w:pPr>
        <w:tabs>
          <w:tab w:val="left" w:pos="1134"/>
        </w:tabs>
        <w:spacing w:before="60" w:line="240" w:lineRule="exact"/>
        <w:rPr>
          <w:sz w:val="20"/>
          <w:szCs w:val="20"/>
          <w:lang w:val="en-GB"/>
        </w:rPr>
      </w:pPr>
      <w:r>
        <w:rPr>
          <w:rFonts w:hint="eastAsia"/>
          <w:sz w:val="20"/>
          <w:szCs w:val="20"/>
          <w:lang w:val="en-GB"/>
        </w:rPr>
        <w:t>B</w:t>
      </w:r>
      <w:r>
        <w:rPr>
          <w:sz w:val="20"/>
          <w:szCs w:val="20"/>
          <w:lang w:val="en-GB"/>
        </w:rPr>
        <w:t>oth ways can work, we are fine with either.</w:t>
      </w:r>
    </w:p>
    <w:p w14:paraId="2A77B117" w14:textId="09AB03FA" w:rsidR="00CE4151" w:rsidRDefault="00CE4151" w:rsidP="00CE4151">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When epoch time is later than </w:t>
      </w:r>
      <w:r w:rsidR="00BB14D5">
        <w:rPr>
          <w:rFonts w:eastAsia="等线" w:hint="eastAsia"/>
          <w:b/>
          <w:bCs/>
          <w:i/>
          <w:iCs/>
          <w:sz w:val="20"/>
          <w:szCs w:val="20"/>
        </w:rPr>
        <w:t>P</w:t>
      </w:r>
      <w:r w:rsidR="00BB14D5">
        <w:rPr>
          <w:rFonts w:eastAsia="等线"/>
          <w:b/>
          <w:bCs/>
          <w:i/>
          <w:iCs/>
          <w:sz w:val="20"/>
          <w:szCs w:val="20"/>
        </w:rPr>
        <w:t>RACH</w:t>
      </w:r>
      <w:r w:rsidR="002C4CBB">
        <w:rPr>
          <w:rFonts w:eastAsia="等线"/>
          <w:b/>
          <w:bCs/>
          <w:i/>
          <w:iCs/>
          <w:sz w:val="20"/>
          <w:szCs w:val="20"/>
        </w:rPr>
        <w:t xml:space="preserve"> </w:t>
      </w:r>
      <w:r w:rsidR="002C4CBB">
        <w:rPr>
          <w:rFonts w:eastAsia="等线" w:hint="eastAsia"/>
          <w:b/>
          <w:bCs/>
          <w:i/>
          <w:iCs/>
          <w:sz w:val="20"/>
          <w:szCs w:val="20"/>
        </w:rPr>
        <w:t>transmission</w:t>
      </w:r>
      <w:r>
        <w:rPr>
          <w:rFonts w:eastAsia="等线"/>
          <w:b/>
          <w:bCs/>
          <w:i/>
          <w:iCs/>
          <w:sz w:val="20"/>
          <w:szCs w:val="20"/>
        </w:rPr>
        <w:t>, the additional waiting time should be taken into consideration.</w:t>
      </w:r>
    </w:p>
    <w:p w14:paraId="11A6499B" w14:textId="77777777" w:rsidR="00CE4151" w:rsidRDefault="00CE4151" w:rsidP="00CE4151">
      <w:pPr>
        <w:tabs>
          <w:tab w:val="left" w:pos="1134"/>
        </w:tabs>
        <w:spacing w:before="60"/>
        <w:jc w:val="both"/>
        <w:rPr>
          <w:rFonts w:eastAsia="等线"/>
          <w:b/>
          <w:bCs/>
          <w:i/>
          <w:iCs/>
          <w:sz w:val="20"/>
          <w:szCs w:val="20"/>
        </w:rPr>
      </w:pPr>
      <w:r>
        <w:rPr>
          <w:rFonts w:eastAsia="等线"/>
          <w:b/>
          <w:bCs/>
          <w:i/>
          <w:iCs/>
          <w:sz w:val="20"/>
          <w:szCs w:val="20"/>
        </w:rPr>
        <w:t>Observation 1: There are two possible ways to capture this additional waiting time:</w:t>
      </w:r>
    </w:p>
    <w:p w14:paraId="0897C389" w14:textId="08204287" w:rsidR="00CE4151" w:rsidRPr="00544306" w:rsidRDefault="00CE4151" w:rsidP="00544306">
      <w:pPr>
        <w:pStyle w:val="af9"/>
        <w:numPr>
          <w:ilvl w:val="0"/>
          <w:numId w:val="44"/>
        </w:numPr>
        <w:tabs>
          <w:tab w:val="left" w:pos="1134"/>
        </w:tabs>
        <w:spacing w:before="60" w:line="240" w:lineRule="exact"/>
        <w:ind w:firstLineChars="0"/>
        <w:rPr>
          <w:b/>
          <w:bCs/>
          <w:i/>
          <w:iCs/>
          <w:sz w:val="20"/>
          <w:szCs w:val="20"/>
        </w:rPr>
      </w:pPr>
      <w:r w:rsidRPr="00544306">
        <w:rPr>
          <w:b/>
          <w:bCs/>
          <w:i/>
          <w:iCs/>
          <w:sz w:val="20"/>
          <w:szCs w:val="20"/>
        </w:rPr>
        <w:t>Add a T</w:t>
      </w:r>
      <w:r w:rsidRPr="00544306">
        <w:rPr>
          <w:b/>
          <w:bCs/>
          <w:i/>
          <w:iCs/>
          <w:sz w:val="20"/>
          <w:szCs w:val="20"/>
          <w:vertAlign w:val="subscript"/>
        </w:rPr>
        <w:t>EU</w:t>
      </w:r>
      <w:r w:rsidRPr="00544306">
        <w:rPr>
          <w:b/>
          <w:bCs/>
          <w:i/>
          <w:iCs/>
          <w:sz w:val="20"/>
          <w:szCs w:val="20"/>
        </w:rPr>
        <w:t xml:space="preserve"> in T</w:t>
      </w:r>
      <w:r w:rsidRPr="00544306">
        <w:rPr>
          <w:b/>
          <w:bCs/>
          <w:i/>
          <w:iCs/>
          <w:sz w:val="20"/>
          <w:szCs w:val="20"/>
          <w:vertAlign w:val="subscript"/>
        </w:rPr>
        <w:t>interrupt</w:t>
      </w:r>
      <w:r w:rsidRPr="00544306">
        <w:rPr>
          <w:b/>
          <w:bCs/>
          <w:i/>
          <w:iCs/>
          <w:sz w:val="20"/>
          <w:szCs w:val="20"/>
        </w:rPr>
        <w:t>, T</w:t>
      </w:r>
      <w:r w:rsidRPr="00544306">
        <w:rPr>
          <w:b/>
          <w:bCs/>
          <w:i/>
          <w:iCs/>
          <w:sz w:val="20"/>
          <w:szCs w:val="20"/>
          <w:vertAlign w:val="subscript"/>
        </w:rPr>
        <w:t>EU</w:t>
      </w:r>
      <w:r w:rsidRPr="00544306">
        <w:rPr>
          <w:b/>
          <w:bCs/>
          <w:i/>
          <w:iCs/>
          <w:sz w:val="20"/>
          <w:szCs w:val="20"/>
        </w:rPr>
        <w:t xml:space="preserve"> is the </w:t>
      </w:r>
      <w:r w:rsidR="00844A4B">
        <w:rPr>
          <w:b/>
          <w:bCs/>
          <w:i/>
          <w:iCs/>
          <w:sz w:val="20"/>
          <w:szCs w:val="20"/>
        </w:rPr>
        <w:t xml:space="preserve">epoch </w:t>
      </w:r>
      <w:r w:rsidRPr="00544306">
        <w:rPr>
          <w:b/>
          <w:bCs/>
          <w:i/>
          <w:iCs/>
          <w:sz w:val="20"/>
          <w:szCs w:val="20"/>
        </w:rPr>
        <w:t>time uncertainty in obtaining the UL synchronization</w:t>
      </w:r>
      <w:r w:rsidR="00A37F53" w:rsidRPr="00A37F53">
        <w:rPr>
          <w:b/>
          <w:bCs/>
          <w:i/>
          <w:iCs/>
          <w:sz w:val="20"/>
          <w:szCs w:val="20"/>
        </w:rPr>
        <w:t>, which is up to the subframe indicated by epochTime</w:t>
      </w:r>
      <w:r w:rsidRPr="00544306">
        <w:rPr>
          <w:b/>
          <w:bCs/>
          <w:i/>
          <w:iCs/>
          <w:sz w:val="20"/>
          <w:szCs w:val="20"/>
        </w:rPr>
        <w:t>.</w:t>
      </w:r>
    </w:p>
    <w:p w14:paraId="413513BE" w14:textId="77777777" w:rsidR="00CE4151" w:rsidRPr="00544306" w:rsidRDefault="00CE4151" w:rsidP="00CE4151">
      <w:pPr>
        <w:tabs>
          <w:tab w:val="left" w:pos="1134"/>
        </w:tabs>
        <w:spacing w:before="60" w:line="240" w:lineRule="exact"/>
        <w:jc w:val="center"/>
        <w:rPr>
          <w:b/>
          <w:bCs/>
          <w:i/>
          <w:iCs/>
          <w:sz w:val="20"/>
          <w:szCs w:val="20"/>
          <w:lang w:val="en-GB"/>
        </w:rPr>
      </w:pPr>
      <w:r w:rsidRPr="00544306">
        <w:rPr>
          <w:b/>
          <w:bCs/>
          <w:i/>
          <w:iCs/>
          <w:sz w:val="20"/>
          <w:szCs w:val="20"/>
          <w:lang w:val="en-GB"/>
        </w:rPr>
        <w:t>T</w:t>
      </w:r>
      <w:r w:rsidRPr="00544306">
        <w:rPr>
          <w:b/>
          <w:bCs/>
          <w:i/>
          <w:iCs/>
          <w:sz w:val="20"/>
          <w:szCs w:val="20"/>
          <w:vertAlign w:val="subscript"/>
          <w:lang w:val="en-GB"/>
        </w:rPr>
        <w:t>interrupt</w:t>
      </w:r>
      <w:r w:rsidRPr="00544306">
        <w:rPr>
          <w:b/>
          <w:bCs/>
          <w:i/>
          <w:iCs/>
          <w:sz w:val="20"/>
          <w:szCs w:val="20"/>
          <w:lang w:val="en-GB"/>
        </w:rPr>
        <w:t xml:space="preserve"> = T</w:t>
      </w:r>
      <w:r w:rsidRPr="00544306">
        <w:rPr>
          <w:b/>
          <w:bCs/>
          <w:i/>
          <w:iCs/>
          <w:sz w:val="20"/>
          <w:szCs w:val="20"/>
          <w:vertAlign w:val="subscript"/>
          <w:lang w:val="en-GB"/>
        </w:rPr>
        <w:t>search</w:t>
      </w:r>
      <w:r w:rsidRPr="00544306">
        <w:rPr>
          <w:b/>
          <w:bCs/>
          <w:i/>
          <w:iCs/>
          <w:sz w:val="20"/>
          <w:szCs w:val="20"/>
          <w:lang w:val="en-GB"/>
        </w:rPr>
        <w:t xml:space="preserve"> + max(T</w:t>
      </w:r>
      <w:r w:rsidRPr="00544306">
        <w:rPr>
          <w:b/>
          <w:bCs/>
          <w:i/>
          <w:iCs/>
          <w:sz w:val="20"/>
          <w:szCs w:val="20"/>
          <w:vertAlign w:val="subscript"/>
          <w:lang w:val="en-GB"/>
        </w:rPr>
        <w:t>IU</w:t>
      </w:r>
      <w:r w:rsidRPr="00544306">
        <w:rPr>
          <w:b/>
          <w:bCs/>
          <w:i/>
          <w:iCs/>
          <w:sz w:val="20"/>
          <w:szCs w:val="20"/>
          <w:lang w:val="en-GB"/>
        </w:rPr>
        <w:t xml:space="preserve"> , T</w:t>
      </w:r>
      <w:r w:rsidRPr="00544306">
        <w:rPr>
          <w:b/>
          <w:bCs/>
          <w:i/>
          <w:iCs/>
          <w:sz w:val="20"/>
          <w:szCs w:val="20"/>
          <w:vertAlign w:val="subscript"/>
          <w:lang w:val="en-GB"/>
        </w:rPr>
        <w:t>EU</w:t>
      </w:r>
      <w:r w:rsidRPr="00544306">
        <w:rPr>
          <w:b/>
          <w:bCs/>
          <w:i/>
          <w:iCs/>
          <w:sz w:val="20"/>
          <w:szCs w:val="20"/>
          <w:lang w:val="en-GB"/>
        </w:rPr>
        <w:t>)+ T</w:t>
      </w:r>
      <w:r w:rsidRPr="00544306">
        <w:rPr>
          <w:b/>
          <w:bCs/>
          <w:i/>
          <w:iCs/>
          <w:sz w:val="20"/>
          <w:szCs w:val="20"/>
          <w:vertAlign w:val="subscript"/>
          <w:lang w:val="en-GB"/>
        </w:rPr>
        <w:t>processing</w:t>
      </w:r>
      <w:r w:rsidRPr="00544306" w:rsidDel="001D62E5">
        <w:rPr>
          <w:b/>
          <w:bCs/>
          <w:i/>
          <w:iCs/>
          <w:sz w:val="20"/>
          <w:szCs w:val="20"/>
          <w:lang w:val="en-GB"/>
        </w:rPr>
        <w:t xml:space="preserve"> </w:t>
      </w:r>
      <w:r w:rsidRPr="00544306">
        <w:rPr>
          <w:b/>
          <w:bCs/>
          <w:i/>
          <w:iCs/>
          <w:sz w:val="20"/>
          <w:szCs w:val="20"/>
          <w:vertAlign w:val="subscript"/>
          <w:lang w:val="en-GB"/>
        </w:rPr>
        <w:t xml:space="preserve"> </w:t>
      </w:r>
      <w:r w:rsidRPr="00544306">
        <w:rPr>
          <w:b/>
          <w:bCs/>
          <w:i/>
          <w:iCs/>
          <w:sz w:val="20"/>
          <w:szCs w:val="20"/>
          <w:lang w:val="en-GB"/>
        </w:rPr>
        <w:t>+ T</w:t>
      </w:r>
      <w:r w:rsidRPr="00544306">
        <w:rPr>
          <w:b/>
          <w:bCs/>
          <w:i/>
          <w:iCs/>
          <w:sz w:val="20"/>
          <w:szCs w:val="20"/>
          <w:vertAlign w:val="subscript"/>
          <w:lang w:val="en-GB"/>
        </w:rPr>
        <w:t>∆</w:t>
      </w:r>
      <w:r w:rsidRPr="00544306">
        <w:rPr>
          <w:b/>
          <w:bCs/>
          <w:i/>
          <w:iCs/>
          <w:sz w:val="20"/>
          <w:szCs w:val="20"/>
          <w:lang w:val="en-GB"/>
        </w:rPr>
        <w:t xml:space="preserve"> + T</w:t>
      </w:r>
      <w:r w:rsidRPr="00544306">
        <w:rPr>
          <w:b/>
          <w:bCs/>
          <w:i/>
          <w:iCs/>
          <w:sz w:val="20"/>
          <w:szCs w:val="20"/>
          <w:vertAlign w:val="subscript"/>
          <w:lang w:val="en-GB"/>
        </w:rPr>
        <w:t xml:space="preserve">margin </w:t>
      </w:r>
      <w:r w:rsidRPr="00544306">
        <w:rPr>
          <w:b/>
          <w:bCs/>
          <w:i/>
          <w:iCs/>
          <w:sz w:val="20"/>
          <w:szCs w:val="20"/>
          <w:lang w:val="en-GB"/>
        </w:rPr>
        <w:t>ms</w:t>
      </w:r>
    </w:p>
    <w:p w14:paraId="0E2DE88F" w14:textId="5D5A8255" w:rsidR="0036516D" w:rsidRPr="001D0124" w:rsidRDefault="00CE4151" w:rsidP="00F2197C">
      <w:pPr>
        <w:pStyle w:val="af9"/>
        <w:numPr>
          <w:ilvl w:val="0"/>
          <w:numId w:val="44"/>
        </w:numPr>
        <w:tabs>
          <w:tab w:val="left" w:pos="1134"/>
        </w:tabs>
        <w:spacing w:before="60" w:line="240" w:lineRule="exact"/>
        <w:ind w:firstLineChars="0"/>
        <w:rPr>
          <w:b/>
          <w:bCs/>
          <w:i/>
          <w:iCs/>
          <w:sz w:val="20"/>
          <w:szCs w:val="20"/>
          <w:lang w:val="en-GB"/>
        </w:rPr>
      </w:pPr>
      <w:r w:rsidRPr="00544306">
        <w:rPr>
          <w:b/>
          <w:bCs/>
          <w:i/>
          <w:iCs/>
          <w:sz w:val="20"/>
          <w:szCs w:val="20"/>
          <w:lang w:val="en-GB"/>
        </w:rPr>
        <w:lastRenderedPageBreak/>
        <w:t xml:space="preserve">Give a general description </w:t>
      </w:r>
      <w:r w:rsidRPr="00544306">
        <w:rPr>
          <w:rFonts w:hint="eastAsia"/>
          <w:b/>
          <w:bCs/>
          <w:i/>
          <w:iCs/>
          <w:sz w:val="20"/>
          <w:szCs w:val="20"/>
          <w:lang w:val="en-GB"/>
        </w:rPr>
        <w:t>to</w:t>
      </w:r>
      <w:r w:rsidRPr="00544306">
        <w:rPr>
          <w:b/>
          <w:bCs/>
          <w:i/>
          <w:iCs/>
          <w:sz w:val="20"/>
          <w:szCs w:val="20"/>
          <w:lang w:val="en-GB"/>
        </w:rPr>
        <w:t xml:space="preserve"> clarify that the requirement will be extended if UE could not obtain the UL synchronization before the PRACH transmission.</w:t>
      </w:r>
    </w:p>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182F034F" w:rsidR="000C3D14" w:rsidRPr="000131DD" w:rsidRDefault="00794E95" w:rsidP="000131DD">
      <w:pPr>
        <w:spacing w:before="60"/>
        <w:rPr>
          <w:sz w:val="20"/>
          <w:szCs w:val="20"/>
        </w:rPr>
      </w:pPr>
      <w:r w:rsidRPr="00794E95">
        <w:rPr>
          <w:sz w:val="20"/>
          <w:szCs w:val="20"/>
        </w:rPr>
        <w:t>Based on the discussion above, the following and proposals are concluded.</w:t>
      </w:r>
      <w:r w:rsidR="00C639F1" w:rsidRPr="00C639F1">
        <w:rPr>
          <w:sz w:val="20"/>
          <w:szCs w:val="20"/>
        </w:rPr>
        <w:t xml:space="preserve"> </w:t>
      </w:r>
      <w:bookmarkEnd w:id="5"/>
      <w:bookmarkEnd w:id="6"/>
    </w:p>
    <w:p w14:paraId="179AC454" w14:textId="7CE00E9A" w:rsidR="001D0124" w:rsidRDefault="001D0124" w:rsidP="001D0124">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When epoch time is later than </w:t>
      </w:r>
      <w:r w:rsidR="00A86CC2">
        <w:rPr>
          <w:rFonts w:eastAsia="等线" w:hint="eastAsia"/>
          <w:b/>
          <w:bCs/>
          <w:i/>
          <w:iCs/>
          <w:sz w:val="20"/>
          <w:szCs w:val="20"/>
        </w:rPr>
        <w:t>P</w:t>
      </w:r>
      <w:r w:rsidR="00A86CC2">
        <w:rPr>
          <w:rFonts w:eastAsia="等线"/>
          <w:b/>
          <w:bCs/>
          <w:i/>
          <w:iCs/>
          <w:sz w:val="20"/>
          <w:szCs w:val="20"/>
        </w:rPr>
        <w:t xml:space="preserve">RACH </w:t>
      </w:r>
      <w:r w:rsidR="00A86CC2">
        <w:rPr>
          <w:rFonts w:eastAsia="等线" w:hint="eastAsia"/>
          <w:b/>
          <w:bCs/>
          <w:i/>
          <w:iCs/>
          <w:sz w:val="20"/>
          <w:szCs w:val="20"/>
        </w:rPr>
        <w:t>transmission</w:t>
      </w:r>
      <w:r>
        <w:rPr>
          <w:rFonts w:eastAsia="等线"/>
          <w:b/>
          <w:bCs/>
          <w:i/>
          <w:iCs/>
          <w:sz w:val="20"/>
          <w:szCs w:val="20"/>
        </w:rPr>
        <w:t>, the additional waiting time should be taken into consideration.</w:t>
      </w:r>
    </w:p>
    <w:p w14:paraId="276A7D3E" w14:textId="77777777" w:rsidR="001D0124" w:rsidRDefault="001D0124" w:rsidP="001D0124">
      <w:pPr>
        <w:tabs>
          <w:tab w:val="left" w:pos="1134"/>
        </w:tabs>
        <w:spacing w:before="60"/>
        <w:jc w:val="both"/>
        <w:rPr>
          <w:rFonts w:eastAsia="等线"/>
          <w:b/>
          <w:bCs/>
          <w:i/>
          <w:iCs/>
          <w:sz w:val="20"/>
          <w:szCs w:val="20"/>
        </w:rPr>
      </w:pPr>
      <w:r>
        <w:rPr>
          <w:rFonts w:eastAsia="等线"/>
          <w:b/>
          <w:bCs/>
          <w:i/>
          <w:iCs/>
          <w:sz w:val="20"/>
          <w:szCs w:val="20"/>
        </w:rPr>
        <w:t>Observation 1: There are two possible ways to capture this additional waiting time:</w:t>
      </w:r>
    </w:p>
    <w:p w14:paraId="3B538C3D" w14:textId="3A9D2C52" w:rsidR="001D0124" w:rsidRPr="00544306" w:rsidRDefault="001D0124" w:rsidP="001D0124">
      <w:pPr>
        <w:pStyle w:val="af9"/>
        <w:numPr>
          <w:ilvl w:val="0"/>
          <w:numId w:val="45"/>
        </w:numPr>
        <w:tabs>
          <w:tab w:val="left" w:pos="1134"/>
        </w:tabs>
        <w:spacing w:before="60" w:line="240" w:lineRule="exact"/>
        <w:ind w:firstLineChars="0"/>
        <w:rPr>
          <w:b/>
          <w:bCs/>
          <w:i/>
          <w:iCs/>
          <w:sz w:val="20"/>
          <w:szCs w:val="20"/>
        </w:rPr>
      </w:pPr>
      <w:r w:rsidRPr="00544306">
        <w:rPr>
          <w:b/>
          <w:bCs/>
          <w:i/>
          <w:iCs/>
          <w:sz w:val="20"/>
          <w:szCs w:val="20"/>
        </w:rPr>
        <w:t>Add a T</w:t>
      </w:r>
      <w:r w:rsidRPr="00544306">
        <w:rPr>
          <w:b/>
          <w:bCs/>
          <w:i/>
          <w:iCs/>
          <w:sz w:val="20"/>
          <w:szCs w:val="20"/>
          <w:vertAlign w:val="subscript"/>
        </w:rPr>
        <w:t>EU</w:t>
      </w:r>
      <w:r w:rsidRPr="00544306">
        <w:rPr>
          <w:b/>
          <w:bCs/>
          <w:i/>
          <w:iCs/>
          <w:sz w:val="20"/>
          <w:szCs w:val="20"/>
        </w:rPr>
        <w:t xml:space="preserve"> in T</w:t>
      </w:r>
      <w:r w:rsidRPr="00544306">
        <w:rPr>
          <w:b/>
          <w:bCs/>
          <w:i/>
          <w:iCs/>
          <w:sz w:val="20"/>
          <w:szCs w:val="20"/>
          <w:vertAlign w:val="subscript"/>
        </w:rPr>
        <w:t>interrupt</w:t>
      </w:r>
      <w:r w:rsidRPr="00544306">
        <w:rPr>
          <w:b/>
          <w:bCs/>
          <w:i/>
          <w:iCs/>
          <w:sz w:val="20"/>
          <w:szCs w:val="20"/>
        </w:rPr>
        <w:t>, T</w:t>
      </w:r>
      <w:r w:rsidRPr="00544306">
        <w:rPr>
          <w:b/>
          <w:bCs/>
          <w:i/>
          <w:iCs/>
          <w:sz w:val="20"/>
          <w:szCs w:val="20"/>
          <w:vertAlign w:val="subscript"/>
        </w:rPr>
        <w:t>EU</w:t>
      </w:r>
      <w:r w:rsidRPr="00544306">
        <w:rPr>
          <w:b/>
          <w:bCs/>
          <w:i/>
          <w:iCs/>
          <w:sz w:val="20"/>
          <w:szCs w:val="20"/>
        </w:rPr>
        <w:t xml:space="preserve"> is the </w:t>
      </w:r>
      <w:r w:rsidR="00844A4B">
        <w:rPr>
          <w:b/>
          <w:bCs/>
          <w:i/>
          <w:iCs/>
          <w:sz w:val="20"/>
          <w:szCs w:val="20"/>
        </w:rPr>
        <w:t xml:space="preserve">epoch </w:t>
      </w:r>
      <w:r w:rsidRPr="00544306">
        <w:rPr>
          <w:b/>
          <w:bCs/>
          <w:i/>
          <w:iCs/>
          <w:sz w:val="20"/>
          <w:szCs w:val="20"/>
        </w:rPr>
        <w:t>time uncertainty in obtaining the UL synchronization</w:t>
      </w:r>
      <w:r w:rsidR="00A86CC2" w:rsidRPr="00A37F53">
        <w:rPr>
          <w:b/>
          <w:bCs/>
          <w:i/>
          <w:iCs/>
          <w:sz w:val="20"/>
          <w:szCs w:val="20"/>
        </w:rPr>
        <w:t>, which is up to the subframe indicated by epochTime</w:t>
      </w:r>
      <w:r w:rsidRPr="00544306">
        <w:rPr>
          <w:b/>
          <w:bCs/>
          <w:i/>
          <w:iCs/>
          <w:sz w:val="20"/>
          <w:szCs w:val="20"/>
        </w:rPr>
        <w:t>.</w:t>
      </w:r>
    </w:p>
    <w:p w14:paraId="0F37DC66" w14:textId="77777777" w:rsidR="001D0124" w:rsidRPr="00544306" w:rsidRDefault="001D0124" w:rsidP="001D0124">
      <w:pPr>
        <w:tabs>
          <w:tab w:val="left" w:pos="1134"/>
        </w:tabs>
        <w:spacing w:before="60" w:line="240" w:lineRule="exact"/>
        <w:jc w:val="center"/>
        <w:rPr>
          <w:b/>
          <w:bCs/>
          <w:i/>
          <w:iCs/>
          <w:sz w:val="20"/>
          <w:szCs w:val="20"/>
          <w:lang w:val="en-GB"/>
        </w:rPr>
      </w:pPr>
      <w:r w:rsidRPr="00544306">
        <w:rPr>
          <w:b/>
          <w:bCs/>
          <w:i/>
          <w:iCs/>
          <w:sz w:val="20"/>
          <w:szCs w:val="20"/>
          <w:lang w:val="en-GB"/>
        </w:rPr>
        <w:t>T</w:t>
      </w:r>
      <w:r w:rsidRPr="00544306">
        <w:rPr>
          <w:b/>
          <w:bCs/>
          <w:i/>
          <w:iCs/>
          <w:sz w:val="20"/>
          <w:szCs w:val="20"/>
          <w:vertAlign w:val="subscript"/>
          <w:lang w:val="en-GB"/>
        </w:rPr>
        <w:t>interrupt</w:t>
      </w:r>
      <w:r w:rsidRPr="00544306">
        <w:rPr>
          <w:b/>
          <w:bCs/>
          <w:i/>
          <w:iCs/>
          <w:sz w:val="20"/>
          <w:szCs w:val="20"/>
          <w:lang w:val="en-GB"/>
        </w:rPr>
        <w:t xml:space="preserve"> = T</w:t>
      </w:r>
      <w:r w:rsidRPr="00544306">
        <w:rPr>
          <w:b/>
          <w:bCs/>
          <w:i/>
          <w:iCs/>
          <w:sz w:val="20"/>
          <w:szCs w:val="20"/>
          <w:vertAlign w:val="subscript"/>
          <w:lang w:val="en-GB"/>
        </w:rPr>
        <w:t>search</w:t>
      </w:r>
      <w:r w:rsidRPr="00544306">
        <w:rPr>
          <w:b/>
          <w:bCs/>
          <w:i/>
          <w:iCs/>
          <w:sz w:val="20"/>
          <w:szCs w:val="20"/>
          <w:lang w:val="en-GB"/>
        </w:rPr>
        <w:t xml:space="preserve"> + max(T</w:t>
      </w:r>
      <w:r w:rsidRPr="00544306">
        <w:rPr>
          <w:b/>
          <w:bCs/>
          <w:i/>
          <w:iCs/>
          <w:sz w:val="20"/>
          <w:szCs w:val="20"/>
          <w:vertAlign w:val="subscript"/>
          <w:lang w:val="en-GB"/>
        </w:rPr>
        <w:t>IU</w:t>
      </w:r>
      <w:r w:rsidRPr="00544306">
        <w:rPr>
          <w:b/>
          <w:bCs/>
          <w:i/>
          <w:iCs/>
          <w:sz w:val="20"/>
          <w:szCs w:val="20"/>
          <w:lang w:val="en-GB"/>
        </w:rPr>
        <w:t xml:space="preserve"> , T</w:t>
      </w:r>
      <w:r w:rsidRPr="00544306">
        <w:rPr>
          <w:b/>
          <w:bCs/>
          <w:i/>
          <w:iCs/>
          <w:sz w:val="20"/>
          <w:szCs w:val="20"/>
          <w:vertAlign w:val="subscript"/>
          <w:lang w:val="en-GB"/>
        </w:rPr>
        <w:t>EU</w:t>
      </w:r>
      <w:r w:rsidRPr="00544306">
        <w:rPr>
          <w:b/>
          <w:bCs/>
          <w:i/>
          <w:iCs/>
          <w:sz w:val="20"/>
          <w:szCs w:val="20"/>
          <w:lang w:val="en-GB"/>
        </w:rPr>
        <w:t>)+ T</w:t>
      </w:r>
      <w:r w:rsidRPr="00544306">
        <w:rPr>
          <w:b/>
          <w:bCs/>
          <w:i/>
          <w:iCs/>
          <w:sz w:val="20"/>
          <w:szCs w:val="20"/>
          <w:vertAlign w:val="subscript"/>
          <w:lang w:val="en-GB"/>
        </w:rPr>
        <w:t>processing</w:t>
      </w:r>
      <w:r w:rsidRPr="00544306" w:rsidDel="001D62E5">
        <w:rPr>
          <w:b/>
          <w:bCs/>
          <w:i/>
          <w:iCs/>
          <w:sz w:val="20"/>
          <w:szCs w:val="20"/>
          <w:lang w:val="en-GB"/>
        </w:rPr>
        <w:t xml:space="preserve"> </w:t>
      </w:r>
      <w:r w:rsidRPr="00544306">
        <w:rPr>
          <w:b/>
          <w:bCs/>
          <w:i/>
          <w:iCs/>
          <w:sz w:val="20"/>
          <w:szCs w:val="20"/>
          <w:vertAlign w:val="subscript"/>
          <w:lang w:val="en-GB"/>
        </w:rPr>
        <w:t xml:space="preserve"> </w:t>
      </w:r>
      <w:r w:rsidRPr="00544306">
        <w:rPr>
          <w:b/>
          <w:bCs/>
          <w:i/>
          <w:iCs/>
          <w:sz w:val="20"/>
          <w:szCs w:val="20"/>
          <w:lang w:val="en-GB"/>
        </w:rPr>
        <w:t>+ T</w:t>
      </w:r>
      <w:r w:rsidRPr="00544306">
        <w:rPr>
          <w:b/>
          <w:bCs/>
          <w:i/>
          <w:iCs/>
          <w:sz w:val="20"/>
          <w:szCs w:val="20"/>
          <w:vertAlign w:val="subscript"/>
          <w:lang w:val="en-GB"/>
        </w:rPr>
        <w:t>∆</w:t>
      </w:r>
      <w:r w:rsidRPr="00544306">
        <w:rPr>
          <w:b/>
          <w:bCs/>
          <w:i/>
          <w:iCs/>
          <w:sz w:val="20"/>
          <w:szCs w:val="20"/>
          <w:lang w:val="en-GB"/>
        </w:rPr>
        <w:t xml:space="preserve"> + T</w:t>
      </w:r>
      <w:r w:rsidRPr="00544306">
        <w:rPr>
          <w:b/>
          <w:bCs/>
          <w:i/>
          <w:iCs/>
          <w:sz w:val="20"/>
          <w:szCs w:val="20"/>
          <w:vertAlign w:val="subscript"/>
          <w:lang w:val="en-GB"/>
        </w:rPr>
        <w:t xml:space="preserve">margin </w:t>
      </w:r>
      <w:r w:rsidRPr="00544306">
        <w:rPr>
          <w:b/>
          <w:bCs/>
          <w:i/>
          <w:iCs/>
          <w:sz w:val="20"/>
          <w:szCs w:val="20"/>
          <w:lang w:val="en-GB"/>
        </w:rPr>
        <w:t>ms</w:t>
      </w:r>
    </w:p>
    <w:p w14:paraId="6D0EFF88" w14:textId="77777777" w:rsidR="001D0124" w:rsidRPr="001D0124" w:rsidRDefault="001D0124" w:rsidP="001D0124">
      <w:pPr>
        <w:pStyle w:val="af9"/>
        <w:numPr>
          <w:ilvl w:val="0"/>
          <w:numId w:val="45"/>
        </w:numPr>
        <w:tabs>
          <w:tab w:val="left" w:pos="1134"/>
        </w:tabs>
        <w:spacing w:before="60" w:line="240" w:lineRule="exact"/>
        <w:ind w:firstLineChars="0"/>
        <w:rPr>
          <w:b/>
          <w:bCs/>
          <w:i/>
          <w:iCs/>
          <w:sz w:val="20"/>
          <w:szCs w:val="20"/>
          <w:lang w:val="en-GB"/>
        </w:rPr>
      </w:pPr>
      <w:r w:rsidRPr="00544306">
        <w:rPr>
          <w:b/>
          <w:bCs/>
          <w:i/>
          <w:iCs/>
          <w:sz w:val="20"/>
          <w:szCs w:val="20"/>
          <w:lang w:val="en-GB"/>
        </w:rPr>
        <w:t xml:space="preserve">Give a general description </w:t>
      </w:r>
      <w:r w:rsidRPr="00544306">
        <w:rPr>
          <w:rFonts w:hint="eastAsia"/>
          <w:b/>
          <w:bCs/>
          <w:i/>
          <w:iCs/>
          <w:sz w:val="20"/>
          <w:szCs w:val="20"/>
          <w:lang w:val="en-GB"/>
        </w:rPr>
        <w:t>to</w:t>
      </w:r>
      <w:r w:rsidRPr="00544306">
        <w:rPr>
          <w:b/>
          <w:bCs/>
          <w:i/>
          <w:iCs/>
          <w:sz w:val="20"/>
          <w:szCs w:val="20"/>
          <w:lang w:val="en-GB"/>
        </w:rPr>
        <w:t xml:space="preserve"> clarify that the requirement will be extended if UE could not obtain the UL synchronization before the PRACH transmission.</w:t>
      </w:r>
    </w:p>
    <w:p w14:paraId="3F1DD96C" w14:textId="77777777" w:rsidR="009E5574" w:rsidRPr="00787674" w:rsidRDefault="009E5574" w:rsidP="001D0124">
      <w:pPr>
        <w:pStyle w:val="1"/>
        <w:numPr>
          <w:ilvl w:val="0"/>
          <w:numId w:val="45"/>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5B538921" w14:textId="224067F9" w:rsidR="002C5AFC" w:rsidRDefault="002C5AFC">
      <w:pPr>
        <w:rPr>
          <w:sz w:val="20"/>
          <w:szCs w:val="20"/>
          <w:lang w:val="en-GB"/>
        </w:rPr>
      </w:pPr>
      <w:r>
        <w:rPr>
          <w:rFonts w:hint="eastAsia"/>
          <w:sz w:val="20"/>
          <w:szCs w:val="20"/>
          <w:lang w:val="en-GB"/>
        </w:rPr>
        <w:t>[</w:t>
      </w:r>
      <w:r>
        <w:rPr>
          <w:sz w:val="20"/>
          <w:szCs w:val="20"/>
          <w:lang w:val="en-GB"/>
        </w:rPr>
        <w:t xml:space="preserve">1] R4-2220313, </w:t>
      </w:r>
      <w:r w:rsidRPr="002C5AFC">
        <w:rPr>
          <w:sz w:val="20"/>
          <w:szCs w:val="20"/>
          <w:lang w:val="en-GB"/>
        </w:rPr>
        <w:t>WF on Rel-17 NR NTN RRM Core Requirements maintenance</w:t>
      </w:r>
      <w:r>
        <w:rPr>
          <w:sz w:val="20"/>
          <w:szCs w:val="20"/>
          <w:lang w:val="en-GB"/>
        </w:rPr>
        <w:t xml:space="preserve">, </w:t>
      </w:r>
      <w:r w:rsidRPr="00EC721B">
        <w:rPr>
          <w:sz w:val="20"/>
          <w:szCs w:val="20"/>
          <w:lang w:val="en-GB"/>
        </w:rPr>
        <w:t>Qualcomm Incorporated</w:t>
      </w:r>
      <w:r>
        <w:rPr>
          <w:sz w:val="20"/>
          <w:szCs w:val="20"/>
          <w:lang w:val="en-GB"/>
        </w:rPr>
        <w:t>.</w:t>
      </w:r>
    </w:p>
    <w:p w14:paraId="772AD4A1" w14:textId="031FE446" w:rsidR="002513F6" w:rsidRDefault="00E215B3">
      <w:pPr>
        <w:rPr>
          <w:sz w:val="20"/>
          <w:szCs w:val="20"/>
          <w:lang w:val="en-GB"/>
        </w:rPr>
      </w:pPr>
      <w:r>
        <w:rPr>
          <w:sz w:val="20"/>
          <w:szCs w:val="20"/>
          <w:lang w:val="en-GB"/>
        </w:rPr>
        <w:t xml:space="preserve">[2] </w:t>
      </w:r>
      <w:r w:rsidRPr="00E215B3">
        <w:rPr>
          <w:sz w:val="20"/>
          <w:szCs w:val="20"/>
          <w:lang w:val="en-GB"/>
        </w:rPr>
        <w:t>R2-2213001</w:t>
      </w:r>
      <w:r>
        <w:rPr>
          <w:sz w:val="20"/>
          <w:szCs w:val="20"/>
          <w:lang w:val="en-GB"/>
        </w:rPr>
        <w:t xml:space="preserve">, </w:t>
      </w:r>
      <w:r w:rsidRPr="00E215B3">
        <w:rPr>
          <w:sz w:val="20"/>
          <w:szCs w:val="20"/>
          <w:lang w:val="en-GB"/>
        </w:rPr>
        <w:t>Report from Break-out session on NR-NTN, IoT-NTN, RedCap and CE</w:t>
      </w:r>
      <w:r>
        <w:rPr>
          <w:sz w:val="20"/>
          <w:szCs w:val="20"/>
          <w:lang w:val="en-GB"/>
        </w:rPr>
        <w:t>, ZTE.</w:t>
      </w:r>
    </w:p>
    <w:p w14:paraId="798507D3" w14:textId="0D81772F" w:rsidR="00E215B3" w:rsidRPr="00452485" w:rsidRDefault="00E215B3">
      <w:pPr>
        <w:rPr>
          <w:sz w:val="20"/>
          <w:szCs w:val="20"/>
          <w:lang w:val="en-GB"/>
        </w:rPr>
      </w:pPr>
      <w:r>
        <w:rPr>
          <w:rFonts w:hint="eastAsia"/>
          <w:sz w:val="20"/>
          <w:szCs w:val="20"/>
          <w:lang w:val="en-GB"/>
        </w:rPr>
        <w:t>[</w:t>
      </w:r>
      <w:r>
        <w:rPr>
          <w:sz w:val="20"/>
          <w:szCs w:val="20"/>
          <w:lang w:val="en-GB"/>
        </w:rPr>
        <w:t xml:space="preserve">3] R2-3313028, </w:t>
      </w:r>
      <w:r w:rsidRPr="00E215B3">
        <w:rPr>
          <w:sz w:val="20"/>
          <w:szCs w:val="20"/>
          <w:lang w:val="en-GB"/>
        </w:rPr>
        <w:t>Corrections for Release-17 NR NTN</w:t>
      </w:r>
      <w:r>
        <w:rPr>
          <w:sz w:val="20"/>
          <w:szCs w:val="20"/>
          <w:lang w:val="en-GB"/>
        </w:rPr>
        <w:t>, Ericsson.</w:t>
      </w:r>
    </w:p>
    <w:sectPr w:rsidR="00E215B3"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E016E" w14:textId="77777777" w:rsidR="007D6820" w:rsidRDefault="007D6820" w:rsidP="007854C6">
      <w:r>
        <w:separator/>
      </w:r>
    </w:p>
  </w:endnote>
  <w:endnote w:type="continuationSeparator" w:id="0">
    <w:p w14:paraId="6CF40172" w14:textId="77777777" w:rsidR="007D6820" w:rsidRDefault="007D6820"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EFB3F" w14:textId="77777777" w:rsidR="007D6820" w:rsidRDefault="007D6820" w:rsidP="007854C6">
      <w:r>
        <w:separator/>
      </w:r>
    </w:p>
  </w:footnote>
  <w:footnote w:type="continuationSeparator" w:id="0">
    <w:p w14:paraId="7090C45B" w14:textId="77777777" w:rsidR="007D6820" w:rsidRDefault="007D6820"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00A53"/>
    <w:multiLevelType w:val="hybridMultilevel"/>
    <w:tmpl w:val="5A003E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365CFB"/>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8F914A0"/>
    <w:multiLevelType w:val="hybridMultilevel"/>
    <w:tmpl w:val="E53A8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627315"/>
    <w:multiLevelType w:val="hybridMultilevel"/>
    <w:tmpl w:val="38709CCE"/>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98660D"/>
    <w:multiLevelType w:val="hybridMultilevel"/>
    <w:tmpl w:val="1FA66B46"/>
    <w:lvl w:ilvl="0" w:tplc="D6B0989C">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7"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0"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3"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30"/>
  </w:num>
  <w:num w:numId="2" w16cid:durableId="1872185180">
    <w:abstractNumId w:val="10"/>
  </w:num>
  <w:num w:numId="3" w16cid:durableId="1337423769">
    <w:abstractNumId w:val="29"/>
  </w:num>
  <w:num w:numId="4" w16cid:durableId="540900337">
    <w:abstractNumId w:val="7"/>
  </w:num>
  <w:num w:numId="5" w16cid:durableId="366564362">
    <w:abstractNumId w:val="2"/>
  </w:num>
  <w:num w:numId="6" w16cid:durableId="1819103025">
    <w:abstractNumId w:val="26"/>
  </w:num>
  <w:num w:numId="7" w16cid:durableId="545676249">
    <w:abstractNumId w:val="6"/>
  </w:num>
  <w:num w:numId="8" w16cid:durableId="299842338">
    <w:abstractNumId w:val="11"/>
  </w:num>
  <w:num w:numId="9" w16cid:durableId="1004282034">
    <w:abstractNumId w:val="17"/>
  </w:num>
  <w:num w:numId="10" w16cid:durableId="322467064">
    <w:abstractNumId w:val="23"/>
  </w:num>
  <w:num w:numId="11" w16cid:durableId="1869565793">
    <w:abstractNumId w:val="28"/>
  </w:num>
  <w:num w:numId="12" w16cid:durableId="1852134952">
    <w:abstractNumId w:val="8"/>
  </w:num>
  <w:num w:numId="13" w16cid:durableId="1878083882">
    <w:abstractNumId w:val="32"/>
  </w:num>
  <w:num w:numId="14" w16cid:durableId="43993273">
    <w:abstractNumId w:val="8"/>
  </w:num>
  <w:num w:numId="15" w16cid:durableId="1633367473">
    <w:abstractNumId w:val="20"/>
  </w:num>
  <w:num w:numId="16" w16cid:durableId="1268462805">
    <w:abstractNumId w:val="27"/>
  </w:num>
  <w:num w:numId="17" w16cid:durableId="1599175766">
    <w:abstractNumId w:val="31"/>
  </w:num>
  <w:num w:numId="18" w16cid:durableId="678044669">
    <w:abstractNumId w:val="0"/>
  </w:num>
  <w:num w:numId="19" w16cid:durableId="471872988">
    <w:abstractNumId w:val="4"/>
  </w:num>
  <w:num w:numId="20" w16cid:durableId="852033810">
    <w:abstractNumId w:val="14"/>
  </w:num>
  <w:num w:numId="21" w16cid:durableId="289362898">
    <w:abstractNumId w:val="33"/>
  </w:num>
  <w:num w:numId="22" w16cid:durableId="1075930875">
    <w:abstractNumId w:val="19"/>
  </w:num>
  <w:num w:numId="23" w16cid:durableId="6833661">
    <w:abstractNumId w:val="16"/>
  </w:num>
  <w:num w:numId="24" w16cid:durableId="1849522452">
    <w:abstractNumId w:val="13"/>
  </w:num>
  <w:num w:numId="25" w16cid:durableId="50345578">
    <w:abstractNumId w:val="24"/>
  </w:num>
  <w:num w:numId="26" w16cid:durableId="2039237746">
    <w:abstractNumId w:val="30"/>
  </w:num>
  <w:num w:numId="27" w16cid:durableId="837692274">
    <w:abstractNumId w:val="30"/>
  </w:num>
  <w:num w:numId="28" w16cid:durableId="835191808">
    <w:abstractNumId w:val="30"/>
  </w:num>
  <w:num w:numId="29" w16cid:durableId="171653929">
    <w:abstractNumId w:val="30"/>
  </w:num>
  <w:num w:numId="30" w16cid:durableId="127405075">
    <w:abstractNumId w:val="30"/>
  </w:num>
  <w:num w:numId="31" w16cid:durableId="1295987286">
    <w:abstractNumId w:val="30"/>
  </w:num>
  <w:num w:numId="32" w16cid:durableId="34475318">
    <w:abstractNumId w:val="30"/>
  </w:num>
  <w:num w:numId="33" w16cid:durableId="1200584906">
    <w:abstractNumId w:val="30"/>
  </w:num>
  <w:num w:numId="34" w16cid:durableId="170335396">
    <w:abstractNumId w:val="30"/>
  </w:num>
  <w:num w:numId="35" w16cid:durableId="1932540433">
    <w:abstractNumId w:val="30"/>
  </w:num>
  <w:num w:numId="36" w16cid:durableId="886331285">
    <w:abstractNumId w:val="15"/>
  </w:num>
  <w:num w:numId="37" w16cid:durableId="462357247">
    <w:abstractNumId w:val="9"/>
  </w:num>
  <w:num w:numId="38" w16cid:durableId="2020617575">
    <w:abstractNumId w:val="3"/>
  </w:num>
  <w:num w:numId="39" w16cid:durableId="1204753454">
    <w:abstractNumId w:val="21"/>
  </w:num>
  <w:num w:numId="40" w16cid:durableId="1773937576">
    <w:abstractNumId w:val="18"/>
  </w:num>
  <w:num w:numId="41" w16cid:durableId="241523842">
    <w:abstractNumId w:val="12"/>
  </w:num>
  <w:num w:numId="42" w16cid:durableId="1102336719">
    <w:abstractNumId w:val="22"/>
  </w:num>
  <w:num w:numId="43" w16cid:durableId="528252321">
    <w:abstractNumId w:val="25"/>
  </w:num>
  <w:num w:numId="44" w16cid:durableId="1832479320">
    <w:abstractNumId w:val="1"/>
  </w:num>
  <w:num w:numId="45" w16cid:durableId="170933673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143151C1-3D43-461E-BFDC-A13081EB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124"/>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 w:type="paragraph" w:customStyle="1" w:styleId="Proposal">
    <w:name w:val="Proposal"/>
    <w:basedOn w:val="a"/>
    <w:link w:val="ProposalChar"/>
    <w:qFormat/>
    <w:rsid w:val="00765424"/>
    <w:pPr>
      <w:tabs>
        <w:tab w:val="left" w:pos="1701"/>
      </w:tabs>
      <w:overflowPunct w:val="0"/>
      <w:autoSpaceDE w:val="0"/>
      <w:autoSpaceDN w:val="0"/>
      <w:adjustRightInd w:val="0"/>
      <w:spacing w:after="120"/>
      <w:jc w:val="both"/>
      <w:textAlignment w:val="baseline"/>
    </w:pPr>
    <w:rPr>
      <w:rFonts w:ascii="Arial" w:eastAsia="宋体" w:hAnsi="Arial"/>
      <w:b/>
      <w:bCs/>
      <w:sz w:val="20"/>
      <w:szCs w:val="20"/>
      <w:lang w:val="en-GB"/>
    </w:rPr>
  </w:style>
  <w:style w:type="character" w:customStyle="1" w:styleId="ProposalChar">
    <w:name w:val="Proposal Char"/>
    <w:link w:val="Proposal"/>
    <w:qFormat/>
    <w:rsid w:val="00765424"/>
    <w:rPr>
      <w:rFonts w:ascii="Arial" w:eastAsia="宋体" w:hAnsi="Arial"/>
      <w:b/>
      <w:bCs/>
      <w:lang w:val="en-GB"/>
    </w:rPr>
  </w:style>
  <w:style w:type="character" w:customStyle="1" w:styleId="normaltextrun">
    <w:name w:val="normaltextrun"/>
    <w:basedOn w:val="a0"/>
    <w:rsid w:val="00937145"/>
  </w:style>
  <w:style w:type="paragraph" w:customStyle="1" w:styleId="Comments">
    <w:name w:val="Comments"/>
    <w:basedOn w:val="a"/>
    <w:link w:val="CommentsChar"/>
    <w:qFormat/>
    <w:rsid w:val="005359C5"/>
    <w:pPr>
      <w:spacing w:before="40"/>
    </w:pPr>
    <w:rPr>
      <w:rFonts w:ascii="Arial" w:eastAsia="MS Mincho" w:hAnsi="Arial"/>
      <w:i/>
      <w:noProof/>
      <w:sz w:val="18"/>
      <w:lang w:val="en-GB" w:eastAsia="en-GB"/>
    </w:rPr>
  </w:style>
  <w:style w:type="character" w:customStyle="1" w:styleId="CommentsChar">
    <w:name w:val="Comments Char"/>
    <w:link w:val="Comments"/>
    <w:qFormat/>
    <w:rsid w:val="005359C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198007042">
      <w:bodyDiv w:val="1"/>
      <w:marLeft w:val="0"/>
      <w:marRight w:val="0"/>
      <w:marTop w:val="0"/>
      <w:marBottom w:val="0"/>
      <w:divBdr>
        <w:top w:val="none" w:sz="0" w:space="0" w:color="auto"/>
        <w:left w:val="none" w:sz="0" w:space="0" w:color="auto"/>
        <w:bottom w:val="none" w:sz="0" w:space="0" w:color="auto"/>
        <w:right w:val="none" w:sz="0" w:space="0" w:color="auto"/>
      </w:divBdr>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20556614">
      <w:bodyDiv w:val="1"/>
      <w:marLeft w:val="0"/>
      <w:marRight w:val="0"/>
      <w:marTop w:val="0"/>
      <w:marBottom w:val="0"/>
      <w:divBdr>
        <w:top w:val="none" w:sz="0" w:space="0" w:color="auto"/>
        <w:left w:val="none" w:sz="0" w:space="0" w:color="auto"/>
        <w:bottom w:val="none" w:sz="0" w:space="0" w:color="auto"/>
        <w:right w:val="none" w:sz="0" w:space="0" w:color="auto"/>
      </w:divBdr>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29159316">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6349</TotalTime>
  <Pages>3</Pages>
  <Words>1099</Words>
  <Characters>6269</Characters>
  <Application>Microsoft Office Word</Application>
  <DocSecurity>0</DocSecurity>
  <Lines>52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16</cp:revision>
  <dcterms:created xsi:type="dcterms:W3CDTF">2022-08-08T10:51:00Z</dcterms:created>
  <dcterms:modified xsi:type="dcterms:W3CDTF">2023-02-17T02:15:00Z</dcterms:modified>
</cp:coreProperties>
</file>